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CC944" w14:textId="5A863F5D" w:rsidR="00C56348" w:rsidRPr="00861AB1" w:rsidRDefault="00C56348" w:rsidP="00C56348">
      <w:pPr>
        <w:pStyle w:val="Title"/>
        <w:rPr>
          <w:b/>
          <w:szCs w:val="24"/>
        </w:rPr>
      </w:pPr>
      <w:r w:rsidRPr="00861AB1">
        <w:rPr>
          <w:b/>
          <w:szCs w:val="24"/>
        </w:rPr>
        <w:t>PUC</w:t>
      </w:r>
      <w:r w:rsidR="00B91D90" w:rsidRPr="00861AB1">
        <w:rPr>
          <w:b/>
          <w:szCs w:val="24"/>
        </w:rPr>
        <w:t>T</w:t>
      </w:r>
      <w:r w:rsidRPr="00861AB1">
        <w:rPr>
          <w:b/>
          <w:szCs w:val="24"/>
        </w:rPr>
        <w:t xml:space="preserve"> PROJECT NO. 51</w:t>
      </w:r>
      <w:r w:rsidR="00BF4FEF" w:rsidRPr="00861AB1">
        <w:rPr>
          <w:b/>
          <w:szCs w:val="24"/>
        </w:rPr>
        <w:t>871</w:t>
      </w:r>
    </w:p>
    <w:p w14:paraId="2DF1E223" w14:textId="77777777" w:rsidR="00C56348" w:rsidRPr="00861AB1" w:rsidRDefault="00C56348" w:rsidP="00C56348">
      <w:pPr>
        <w:pStyle w:val="Title"/>
        <w:rPr>
          <w:b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359"/>
        <w:gridCol w:w="4242"/>
      </w:tblGrid>
      <w:tr w:rsidR="00C56348" w:rsidRPr="00861AB1" w14:paraId="2AFC0169" w14:textId="77777777" w:rsidTr="003341B6">
        <w:tc>
          <w:tcPr>
            <w:tcW w:w="4878" w:type="dxa"/>
          </w:tcPr>
          <w:p w14:paraId="337D278A" w14:textId="4E2AA6D5" w:rsidR="00C56348" w:rsidRPr="00861AB1" w:rsidRDefault="00390DBD" w:rsidP="003341B6">
            <w:pPr>
              <w:pStyle w:val="Title"/>
              <w:jc w:val="left"/>
              <w:rPr>
                <w:b/>
                <w:szCs w:val="24"/>
              </w:rPr>
            </w:pPr>
            <w:r w:rsidRPr="00861AB1">
              <w:rPr>
                <w:b/>
                <w:szCs w:val="24"/>
              </w:rPr>
              <w:t>REVIEW OF THE ERCOT SCARCITY PRICING MECHANISM</w:t>
            </w:r>
          </w:p>
        </w:tc>
        <w:tc>
          <w:tcPr>
            <w:tcW w:w="360" w:type="dxa"/>
          </w:tcPr>
          <w:p w14:paraId="6362B644" w14:textId="77777777" w:rsidR="00C56348" w:rsidRPr="00861AB1" w:rsidRDefault="00C56348" w:rsidP="003341B6">
            <w:pPr>
              <w:pStyle w:val="Title"/>
              <w:rPr>
                <w:b/>
                <w:szCs w:val="24"/>
              </w:rPr>
            </w:pPr>
            <w:r w:rsidRPr="00861AB1">
              <w:rPr>
                <w:b/>
                <w:szCs w:val="24"/>
              </w:rPr>
              <w:t>§</w:t>
            </w:r>
          </w:p>
          <w:p w14:paraId="5CF74670" w14:textId="77777777" w:rsidR="00C56348" w:rsidRPr="00861AB1" w:rsidRDefault="00C56348" w:rsidP="003341B6">
            <w:pPr>
              <w:pStyle w:val="Title"/>
              <w:rPr>
                <w:b/>
                <w:szCs w:val="24"/>
              </w:rPr>
            </w:pPr>
            <w:r w:rsidRPr="00861AB1">
              <w:rPr>
                <w:b/>
                <w:szCs w:val="24"/>
              </w:rPr>
              <w:t>§</w:t>
            </w:r>
          </w:p>
          <w:p w14:paraId="15561A92" w14:textId="554F0548" w:rsidR="00C56348" w:rsidRPr="00861AB1" w:rsidRDefault="00C56348" w:rsidP="003341B6">
            <w:pPr>
              <w:pStyle w:val="Title"/>
              <w:rPr>
                <w:b/>
                <w:szCs w:val="24"/>
              </w:rPr>
            </w:pPr>
          </w:p>
        </w:tc>
        <w:tc>
          <w:tcPr>
            <w:tcW w:w="4338" w:type="dxa"/>
          </w:tcPr>
          <w:p w14:paraId="23460B63" w14:textId="77777777" w:rsidR="00C56348" w:rsidRPr="00861AB1" w:rsidRDefault="00C56348" w:rsidP="003341B6">
            <w:pPr>
              <w:pStyle w:val="Title"/>
              <w:ind w:right="-450"/>
              <w:rPr>
                <w:b/>
                <w:szCs w:val="24"/>
              </w:rPr>
            </w:pPr>
            <w:r w:rsidRPr="00861AB1">
              <w:rPr>
                <w:b/>
                <w:szCs w:val="24"/>
              </w:rPr>
              <w:t>PUBLIC UTILITY COMMISSION</w:t>
            </w:r>
          </w:p>
          <w:p w14:paraId="512F9F38" w14:textId="77777777" w:rsidR="00C56348" w:rsidRPr="00861AB1" w:rsidRDefault="00C56348" w:rsidP="003341B6">
            <w:pPr>
              <w:pStyle w:val="Title"/>
              <w:rPr>
                <w:b/>
                <w:szCs w:val="24"/>
              </w:rPr>
            </w:pPr>
            <w:r w:rsidRPr="00861AB1">
              <w:rPr>
                <w:b/>
                <w:szCs w:val="24"/>
              </w:rPr>
              <w:t>OF TEXAS</w:t>
            </w:r>
          </w:p>
        </w:tc>
      </w:tr>
    </w:tbl>
    <w:p w14:paraId="20CED95C" w14:textId="77777777" w:rsidR="00C56348" w:rsidRPr="00861AB1" w:rsidRDefault="00C56348" w:rsidP="00C56348">
      <w:pPr>
        <w:pStyle w:val="Caption"/>
        <w:ind w:right="-270"/>
        <w:jc w:val="left"/>
        <w:rPr>
          <w:szCs w:val="24"/>
        </w:rPr>
      </w:pPr>
    </w:p>
    <w:p w14:paraId="4770EE74" w14:textId="3A21272C" w:rsidR="00B245FA" w:rsidRPr="00861AB1" w:rsidRDefault="00C56348" w:rsidP="00BF4FEF">
      <w:pPr>
        <w:pStyle w:val="Caption"/>
        <w:ind w:right="-270"/>
        <w:rPr>
          <w:caps/>
          <w:szCs w:val="24"/>
          <w:u w:val="single"/>
        </w:rPr>
      </w:pPr>
      <w:r w:rsidRPr="00861AB1">
        <w:rPr>
          <w:caps/>
          <w:szCs w:val="24"/>
          <w:u w:val="single"/>
        </w:rPr>
        <w:t>NRG Energy</w:t>
      </w:r>
      <w:r w:rsidR="003528CC" w:rsidRPr="00861AB1">
        <w:rPr>
          <w:caps/>
          <w:szCs w:val="24"/>
          <w:u w:val="single"/>
        </w:rPr>
        <w:t>,</w:t>
      </w:r>
      <w:r w:rsidRPr="00861AB1">
        <w:rPr>
          <w:caps/>
          <w:szCs w:val="24"/>
          <w:u w:val="single"/>
        </w:rPr>
        <w:t xml:space="preserve"> Inc.</w:t>
      </w:r>
      <w:r w:rsidR="001E11BD" w:rsidRPr="00861AB1">
        <w:rPr>
          <w:caps/>
          <w:szCs w:val="24"/>
          <w:u w:val="single"/>
        </w:rPr>
        <w:t>’s</w:t>
      </w:r>
      <w:r w:rsidRPr="00861AB1">
        <w:rPr>
          <w:caps/>
          <w:szCs w:val="24"/>
          <w:u w:val="single"/>
        </w:rPr>
        <w:t xml:space="preserve"> </w:t>
      </w:r>
      <w:r w:rsidR="00107C24" w:rsidRPr="00861AB1">
        <w:rPr>
          <w:caps/>
          <w:szCs w:val="24"/>
          <w:u w:val="single"/>
        </w:rPr>
        <w:t xml:space="preserve">comments </w:t>
      </w:r>
      <w:r w:rsidR="00B245FA" w:rsidRPr="00861AB1">
        <w:rPr>
          <w:caps/>
          <w:szCs w:val="24"/>
          <w:u w:val="single"/>
        </w:rPr>
        <w:t>on</w:t>
      </w:r>
      <w:r w:rsidR="009143D8">
        <w:rPr>
          <w:caps/>
          <w:szCs w:val="24"/>
          <w:u w:val="single"/>
        </w:rPr>
        <w:t xml:space="preserve"> THE</w:t>
      </w:r>
      <w:r w:rsidR="00107C24" w:rsidRPr="00861AB1">
        <w:rPr>
          <w:caps/>
          <w:szCs w:val="24"/>
          <w:u w:val="single"/>
        </w:rPr>
        <w:t xml:space="preserve"> </w:t>
      </w:r>
    </w:p>
    <w:p w14:paraId="45A7EA20" w14:textId="24E89C73" w:rsidR="00C56348" w:rsidRPr="00861AB1" w:rsidRDefault="009143D8" w:rsidP="00BF4FEF">
      <w:pPr>
        <w:pStyle w:val="Caption"/>
        <w:ind w:right="-270"/>
        <w:rPr>
          <w:caps/>
          <w:szCs w:val="24"/>
          <w:u w:val="single"/>
        </w:rPr>
      </w:pPr>
      <w:r w:rsidRPr="009143D8">
        <w:rPr>
          <w:caps/>
          <w:szCs w:val="24"/>
          <w:u w:val="single"/>
        </w:rPr>
        <w:t xml:space="preserve">PROPOSAL FOR PUBLICATION OF AMENDMENTS TO </w:t>
      </w:r>
      <w:r w:rsidR="006B7C70">
        <w:rPr>
          <w:caps/>
          <w:szCs w:val="24"/>
          <w:u w:val="single"/>
        </w:rPr>
        <w:t xml:space="preserve">16 Tex. Admin. Code </w:t>
      </w:r>
      <w:r w:rsidR="00107C24" w:rsidRPr="00861AB1">
        <w:rPr>
          <w:caps/>
          <w:szCs w:val="24"/>
          <w:u w:val="single"/>
        </w:rPr>
        <w:t>§ 25.505</w:t>
      </w:r>
    </w:p>
    <w:p w14:paraId="55CDB52D" w14:textId="77777777" w:rsidR="00C56348" w:rsidRPr="00861AB1" w:rsidRDefault="00C56348" w:rsidP="00C56348">
      <w:pPr>
        <w:pStyle w:val="Caption"/>
        <w:ind w:right="-270"/>
        <w:rPr>
          <w:caps/>
          <w:szCs w:val="24"/>
          <w:u w:val="single"/>
        </w:rPr>
      </w:pPr>
    </w:p>
    <w:p w14:paraId="34790DEF" w14:textId="054C6418" w:rsidR="00B245FA" w:rsidRDefault="000B1996" w:rsidP="00027214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1AB1">
        <w:rPr>
          <w:rFonts w:ascii="Times New Roman" w:hAnsi="Times New Roman" w:cs="Times New Roman"/>
          <w:sz w:val="24"/>
          <w:szCs w:val="24"/>
        </w:rPr>
        <w:t>NRG Energy, Inc. (NRG)</w:t>
      </w:r>
      <w:r w:rsidR="003D03F4" w:rsidRPr="00861AB1">
        <w:rPr>
          <w:rFonts w:ascii="Times New Roman" w:hAnsi="Times New Roman" w:cs="Times New Roman"/>
          <w:sz w:val="24"/>
          <w:szCs w:val="24"/>
        </w:rPr>
        <w:t xml:space="preserve"> appreciates the opportunity to </w:t>
      </w:r>
      <w:r w:rsidR="00417B5F">
        <w:rPr>
          <w:rFonts w:ascii="Times New Roman" w:hAnsi="Times New Roman" w:cs="Times New Roman"/>
          <w:sz w:val="24"/>
          <w:szCs w:val="24"/>
        </w:rPr>
        <w:t>provide these comments to the Public Utility Commission of Texas (“Commission”)</w:t>
      </w:r>
      <w:r w:rsidR="003D03F4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1D7B9B" w:rsidRPr="00861AB1">
        <w:rPr>
          <w:rFonts w:ascii="Times New Roman" w:hAnsi="Times New Roman" w:cs="Times New Roman"/>
          <w:sz w:val="24"/>
          <w:szCs w:val="24"/>
        </w:rPr>
        <w:t>on</w:t>
      </w:r>
      <w:r w:rsidR="003D03F4" w:rsidRPr="00861AB1">
        <w:rPr>
          <w:rFonts w:ascii="Times New Roman" w:hAnsi="Times New Roman" w:cs="Times New Roman"/>
          <w:sz w:val="24"/>
          <w:szCs w:val="24"/>
        </w:rPr>
        <w:t xml:space="preserve"> th</w:t>
      </w:r>
      <w:r w:rsidR="00B245FA" w:rsidRPr="00861AB1">
        <w:rPr>
          <w:rFonts w:ascii="Times New Roman" w:hAnsi="Times New Roman" w:cs="Times New Roman"/>
          <w:sz w:val="24"/>
          <w:szCs w:val="24"/>
        </w:rPr>
        <w:t xml:space="preserve">e </w:t>
      </w:r>
      <w:r w:rsidR="002A7019">
        <w:rPr>
          <w:rFonts w:ascii="Times New Roman" w:hAnsi="Times New Roman" w:cs="Times New Roman"/>
          <w:sz w:val="24"/>
          <w:szCs w:val="24"/>
        </w:rPr>
        <w:t>proposal for publication of</w:t>
      </w:r>
      <w:r w:rsidR="00B245FA" w:rsidRPr="00861AB1">
        <w:rPr>
          <w:rFonts w:ascii="Times New Roman" w:hAnsi="Times New Roman" w:cs="Times New Roman"/>
          <w:sz w:val="24"/>
          <w:szCs w:val="24"/>
        </w:rPr>
        <w:t xml:space="preserve"> amendment</w:t>
      </w:r>
      <w:r w:rsidR="001E11BD" w:rsidRPr="00861AB1">
        <w:rPr>
          <w:rFonts w:ascii="Times New Roman" w:hAnsi="Times New Roman" w:cs="Times New Roman"/>
          <w:sz w:val="24"/>
          <w:szCs w:val="24"/>
        </w:rPr>
        <w:t>s</w:t>
      </w:r>
      <w:r w:rsidR="00B245FA" w:rsidRPr="00861AB1">
        <w:rPr>
          <w:rFonts w:ascii="Times New Roman" w:hAnsi="Times New Roman" w:cs="Times New Roman"/>
          <w:sz w:val="24"/>
          <w:szCs w:val="24"/>
        </w:rPr>
        <w:t xml:space="preserve"> to 16 Tex. Admin. Code </w:t>
      </w:r>
      <w:r w:rsidR="00F4078D" w:rsidRPr="00861AB1">
        <w:rPr>
          <w:rFonts w:ascii="Times New Roman" w:hAnsi="Times New Roman" w:cs="Times New Roman"/>
          <w:sz w:val="24"/>
          <w:szCs w:val="24"/>
        </w:rPr>
        <w:t xml:space="preserve">(TAC) </w:t>
      </w:r>
      <w:r w:rsidR="00B245FA" w:rsidRPr="00861AB1">
        <w:rPr>
          <w:rFonts w:ascii="Times New Roman" w:hAnsi="Times New Roman" w:cs="Times New Roman"/>
          <w:sz w:val="24"/>
          <w:szCs w:val="24"/>
        </w:rPr>
        <w:t xml:space="preserve">§ 25.505, </w:t>
      </w:r>
      <w:r w:rsidR="00B245FA" w:rsidRPr="00861AB1">
        <w:rPr>
          <w:rFonts w:ascii="Times New Roman" w:hAnsi="Times New Roman" w:cs="Times New Roman"/>
          <w:i/>
          <w:iCs/>
          <w:sz w:val="24"/>
          <w:szCs w:val="24"/>
        </w:rPr>
        <w:t>Resource Adequacy in the Electric Reliability Council of Texas Power Region</w:t>
      </w:r>
      <w:r w:rsidR="003D2ED6" w:rsidRPr="00861AB1">
        <w:rPr>
          <w:rFonts w:ascii="Times New Roman" w:hAnsi="Times New Roman" w:cs="Times New Roman"/>
          <w:sz w:val="24"/>
          <w:szCs w:val="24"/>
        </w:rPr>
        <w:t>.</w:t>
      </w:r>
      <w:r w:rsidR="00417B5F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3D2ED6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795B8B" w:rsidRPr="00861A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AAECC1" w14:textId="61FEF015" w:rsidR="00A17536" w:rsidRPr="00861AB1" w:rsidRDefault="00A17536" w:rsidP="00A17536"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861AB1">
        <w:rPr>
          <w:rFonts w:ascii="Times New Roman" w:hAnsi="Times New Roman" w:cs="Times New Roman"/>
          <w:b/>
          <w:smallCaps/>
          <w:sz w:val="24"/>
          <w:szCs w:val="24"/>
        </w:rPr>
        <w:t>Introduction</w:t>
      </w:r>
      <w:r w:rsidR="00186439">
        <w:rPr>
          <w:rFonts w:ascii="Times New Roman" w:hAnsi="Times New Roman" w:cs="Times New Roman"/>
          <w:b/>
          <w:smallCaps/>
          <w:sz w:val="24"/>
          <w:szCs w:val="24"/>
        </w:rPr>
        <w:t xml:space="preserve"> and Support for </w:t>
      </w:r>
      <w:r w:rsidR="009E4ED4">
        <w:rPr>
          <w:rFonts w:ascii="Times New Roman" w:hAnsi="Times New Roman" w:cs="Times New Roman"/>
          <w:b/>
          <w:smallCaps/>
          <w:sz w:val="24"/>
          <w:szCs w:val="24"/>
        </w:rPr>
        <w:t>Proposed Amendments</w:t>
      </w:r>
    </w:p>
    <w:p w14:paraId="7060FBBB" w14:textId="4C0CB7B8" w:rsidR="002B3723" w:rsidRDefault="00F4078D" w:rsidP="00027214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1AB1">
        <w:rPr>
          <w:rFonts w:ascii="Times New Roman" w:hAnsi="Times New Roman" w:cs="Times New Roman"/>
          <w:sz w:val="24"/>
          <w:szCs w:val="24"/>
        </w:rPr>
        <w:t>NRG supports the proposed amendments to 16 TAC § 25.505</w:t>
      </w:r>
      <w:r w:rsidR="002A7019">
        <w:rPr>
          <w:rFonts w:ascii="Times New Roman" w:hAnsi="Times New Roman" w:cs="Times New Roman"/>
          <w:sz w:val="24"/>
          <w:szCs w:val="24"/>
        </w:rPr>
        <w:t xml:space="preserve"> </w:t>
      </w:r>
      <w:r w:rsidR="00305FF6">
        <w:rPr>
          <w:rFonts w:ascii="Times New Roman" w:hAnsi="Times New Roman" w:cs="Times New Roman"/>
          <w:sz w:val="24"/>
          <w:szCs w:val="24"/>
        </w:rPr>
        <w:t xml:space="preserve">outlined </w:t>
      </w:r>
      <w:r w:rsidR="002A7019">
        <w:rPr>
          <w:rFonts w:ascii="Times New Roman" w:hAnsi="Times New Roman" w:cs="Times New Roman"/>
          <w:sz w:val="24"/>
          <w:szCs w:val="24"/>
        </w:rPr>
        <w:t>in the proposal for publication</w:t>
      </w:r>
      <w:r w:rsidR="00C950B6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213E0A" w:rsidRPr="00861AB1">
        <w:rPr>
          <w:rFonts w:ascii="Times New Roman" w:hAnsi="Times New Roman" w:cs="Times New Roman"/>
          <w:sz w:val="24"/>
          <w:szCs w:val="24"/>
        </w:rPr>
        <w:t xml:space="preserve">and recommends that </w:t>
      </w:r>
      <w:r w:rsidR="001E11BD" w:rsidRPr="00861AB1">
        <w:rPr>
          <w:rFonts w:ascii="Times New Roman" w:hAnsi="Times New Roman" w:cs="Times New Roman"/>
          <w:sz w:val="24"/>
          <w:szCs w:val="24"/>
        </w:rPr>
        <w:t xml:space="preserve">they be adopted with </w:t>
      </w:r>
      <w:r w:rsidR="001E2BDD">
        <w:rPr>
          <w:rFonts w:ascii="Times New Roman" w:hAnsi="Times New Roman" w:cs="Times New Roman"/>
          <w:sz w:val="24"/>
          <w:szCs w:val="24"/>
        </w:rPr>
        <w:t xml:space="preserve">a minor adjustment </w:t>
      </w:r>
      <w:r w:rsidR="0077529A">
        <w:rPr>
          <w:rFonts w:ascii="Times New Roman" w:hAnsi="Times New Roman" w:cs="Times New Roman"/>
          <w:sz w:val="24"/>
          <w:szCs w:val="24"/>
        </w:rPr>
        <w:t xml:space="preserve">to add a </w:t>
      </w:r>
      <w:r w:rsidR="00417B5F">
        <w:rPr>
          <w:rFonts w:ascii="Times New Roman" w:hAnsi="Times New Roman" w:cs="Times New Roman"/>
          <w:sz w:val="24"/>
          <w:szCs w:val="24"/>
        </w:rPr>
        <w:t xml:space="preserve">reasonable </w:t>
      </w:r>
      <w:r w:rsidR="0077529A">
        <w:rPr>
          <w:rFonts w:ascii="Times New Roman" w:hAnsi="Times New Roman" w:cs="Times New Roman"/>
          <w:sz w:val="24"/>
          <w:szCs w:val="24"/>
        </w:rPr>
        <w:t xml:space="preserve">margin </w:t>
      </w:r>
      <w:r w:rsidR="00305FF6">
        <w:rPr>
          <w:rFonts w:ascii="Times New Roman" w:hAnsi="Times New Roman" w:cs="Times New Roman"/>
          <w:sz w:val="24"/>
          <w:szCs w:val="24"/>
        </w:rPr>
        <w:t xml:space="preserve">to the cost recovery mechanism </w:t>
      </w:r>
      <w:r w:rsidR="00417B5F">
        <w:rPr>
          <w:rFonts w:ascii="Times New Roman" w:hAnsi="Times New Roman" w:cs="Times New Roman"/>
          <w:sz w:val="24"/>
          <w:szCs w:val="24"/>
        </w:rPr>
        <w:t xml:space="preserve">provided in new subsection (g)(7) </w:t>
      </w:r>
      <w:r w:rsidR="0077529A">
        <w:rPr>
          <w:rFonts w:ascii="Times New Roman" w:hAnsi="Times New Roman" w:cs="Times New Roman"/>
          <w:sz w:val="24"/>
          <w:szCs w:val="24"/>
        </w:rPr>
        <w:t xml:space="preserve">to incentivize </w:t>
      </w:r>
      <w:r w:rsidR="00305FF6">
        <w:rPr>
          <w:rFonts w:ascii="Times New Roman" w:hAnsi="Times New Roman" w:cs="Times New Roman"/>
          <w:sz w:val="24"/>
          <w:szCs w:val="24"/>
        </w:rPr>
        <w:t xml:space="preserve">continued </w:t>
      </w:r>
      <w:r w:rsidR="0077529A">
        <w:rPr>
          <w:rFonts w:ascii="Times New Roman" w:hAnsi="Times New Roman" w:cs="Times New Roman"/>
          <w:sz w:val="24"/>
          <w:szCs w:val="24"/>
        </w:rPr>
        <w:t>performance</w:t>
      </w:r>
      <w:r w:rsidR="00305FF6">
        <w:rPr>
          <w:rFonts w:ascii="Times New Roman" w:hAnsi="Times New Roman" w:cs="Times New Roman"/>
          <w:sz w:val="24"/>
          <w:szCs w:val="24"/>
        </w:rPr>
        <w:t xml:space="preserve"> once the </w:t>
      </w:r>
      <w:r w:rsidR="00305FF6" w:rsidRPr="00861AB1">
        <w:rPr>
          <w:rFonts w:ascii="Times New Roman" w:hAnsi="Times New Roman" w:cs="Times New Roman"/>
          <w:sz w:val="24"/>
          <w:szCs w:val="24"/>
        </w:rPr>
        <w:t>Low System-Wide Offer Cap (LCAP</w:t>
      </w:r>
      <w:r w:rsidR="00305FF6">
        <w:rPr>
          <w:rFonts w:ascii="Times New Roman" w:hAnsi="Times New Roman" w:cs="Times New Roman"/>
          <w:sz w:val="24"/>
          <w:szCs w:val="24"/>
        </w:rPr>
        <w:t>) is triggered</w:t>
      </w:r>
      <w:r w:rsidR="0077529A">
        <w:rPr>
          <w:rFonts w:ascii="Times New Roman" w:hAnsi="Times New Roman" w:cs="Times New Roman"/>
          <w:sz w:val="24"/>
          <w:szCs w:val="24"/>
        </w:rPr>
        <w:t xml:space="preserve">, </w:t>
      </w:r>
      <w:r w:rsidR="001E11BD" w:rsidRPr="00861AB1">
        <w:rPr>
          <w:rFonts w:ascii="Times New Roman" w:hAnsi="Times New Roman" w:cs="Times New Roman"/>
          <w:sz w:val="24"/>
          <w:szCs w:val="24"/>
        </w:rPr>
        <w:t xml:space="preserve">as </w:t>
      </w:r>
      <w:r w:rsidR="001E2BDD">
        <w:rPr>
          <w:rFonts w:ascii="Times New Roman" w:hAnsi="Times New Roman" w:cs="Times New Roman"/>
          <w:sz w:val="24"/>
          <w:szCs w:val="24"/>
        </w:rPr>
        <w:t xml:space="preserve">described in NRG’s </w:t>
      </w:r>
      <w:r w:rsidR="00417B5F">
        <w:rPr>
          <w:rFonts w:ascii="Times New Roman" w:hAnsi="Times New Roman" w:cs="Times New Roman"/>
          <w:sz w:val="24"/>
          <w:szCs w:val="24"/>
        </w:rPr>
        <w:t>previous</w:t>
      </w:r>
      <w:r w:rsidR="00FB3C36">
        <w:rPr>
          <w:rFonts w:ascii="Times New Roman" w:hAnsi="Times New Roman" w:cs="Times New Roman"/>
          <w:sz w:val="24"/>
          <w:szCs w:val="24"/>
        </w:rPr>
        <w:t xml:space="preserve"> </w:t>
      </w:r>
      <w:r w:rsidR="001E2BDD">
        <w:rPr>
          <w:rFonts w:ascii="Times New Roman" w:hAnsi="Times New Roman" w:cs="Times New Roman"/>
          <w:sz w:val="24"/>
          <w:szCs w:val="24"/>
        </w:rPr>
        <w:t xml:space="preserve">comments </w:t>
      </w:r>
      <w:r w:rsidR="00417B5F">
        <w:rPr>
          <w:rFonts w:ascii="Times New Roman" w:hAnsi="Times New Roman" w:cs="Times New Roman"/>
          <w:sz w:val="24"/>
          <w:szCs w:val="24"/>
        </w:rPr>
        <w:t xml:space="preserve">filed in this proceeding </w:t>
      </w:r>
      <w:r w:rsidR="001E2BDD">
        <w:rPr>
          <w:rFonts w:ascii="Times New Roman" w:hAnsi="Times New Roman" w:cs="Times New Roman"/>
          <w:sz w:val="24"/>
          <w:szCs w:val="24"/>
        </w:rPr>
        <w:t>and</w:t>
      </w:r>
      <w:r w:rsidR="00417B5F">
        <w:rPr>
          <w:rFonts w:ascii="Times New Roman" w:hAnsi="Times New Roman" w:cs="Times New Roman"/>
          <w:sz w:val="24"/>
          <w:szCs w:val="24"/>
        </w:rPr>
        <w:t xml:space="preserve"> as</w:t>
      </w:r>
      <w:r w:rsidR="001E2BDD">
        <w:rPr>
          <w:rFonts w:ascii="Times New Roman" w:hAnsi="Times New Roman" w:cs="Times New Roman"/>
          <w:sz w:val="24"/>
          <w:szCs w:val="24"/>
        </w:rPr>
        <w:t xml:space="preserve"> </w:t>
      </w:r>
      <w:r w:rsidR="001E11BD" w:rsidRPr="00861AB1">
        <w:rPr>
          <w:rFonts w:ascii="Times New Roman" w:hAnsi="Times New Roman" w:cs="Times New Roman"/>
          <w:sz w:val="24"/>
          <w:szCs w:val="24"/>
        </w:rPr>
        <w:t>set forth below.</w:t>
      </w:r>
      <w:r w:rsidR="0065075F" w:rsidRPr="00861AB1">
        <w:rPr>
          <w:rFonts w:ascii="Times New Roman" w:hAnsi="Times New Roman" w:cs="Times New Roman"/>
          <w:sz w:val="24"/>
          <w:szCs w:val="24"/>
        </w:rPr>
        <w:t xml:space="preserve">  </w:t>
      </w:r>
      <w:r w:rsidR="00422928">
        <w:rPr>
          <w:rFonts w:ascii="Times New Roman" w:hAnsi="Times New Roman" w:cs="Times New Roman"/>
          <w:sz w:val="24"/>
          <w:szCs w:val="24"/>
        </w:rPr>
        <w:t xml:space="preserve">NRG also appreciates the certainty provided by the Commission to </w:t>
      </w:r>
      <w:r w:rsidR="000474BC">
        <w:rPr>
          <w:rFonts w:ascii="Times New Roman" w:hAnsi="Times New Roman" w:cs="Times New Roman"/>
          <w:sz w:val="24"/>
          <w:szCs w:val="24"/>
        </w:rPr>
        <w:t>main</w:t>
      </w:r>
      <w:r w:rsidR="00422928">
        <w:rPr>
          <w:rFonts w:ascii="Times New Roman" w:hAnsi="Times New Roman" w:cs="Times New Roman"/>
          <w:sz w:val="24"/>
          <w:szCs w:val="24"/>
        </w:rPr>
        <w:t>tain the LCAP at $2,000/MWh for the remainder of 2021 rather than temporarily adopting some higher value</w:t>
      </w:r>
      <w:r w:rsidR="00F4043A">
        <w:rPr>
          <w:rFonts w:ascii="Times New Roman" w:hAnsi="Times New Roman" w:cs="Times New Roman"/>
          <w:sz w:val="24"/>
          <w:szCs w:val="24"/>
        </w:rPr>
        <w:t xml:space="preserve"> for the </w:t>
      </w:r>
      <w:r w:rsidR="00417B5F">
        <w:rPr>
          <w:rFonts w:ascii="Times New Roman" w:hAnsi="Times New Roman" w:cs="Times New Roman"/>
          <w:sz w:val="24"/>
          <w:szCs w:val="24"/>
        </w:rPr>
        <w:t xml:space="preserve">upcoming </w:t>
      </w:r>
      <w:r w:rsidR="00F4043A">
        <w:rPr>
          <w:rFonts w:ascii="Times New Roman" w:hAnsi="Times New Roman" w:cs="Times New Roman"/>
          <w:sz w:val="24"/>
          <w:szCs w:val="24"/>
        </w:rPr>
        <w:t>summer period</w:t>
      </w:r>
      <w:r w:rsidR="00422928">
        <w:rPr>
          <w:rFonts w:ascii="Times New Roman" w:hAnsi="Times New Roman" w:cs="Times New Roman"/>
          <w:sz w:val="24"/>
          <w:szCs w:val="24"/>
        </w:rPr>
        <w:t>.</w:t>
      </w:r>
      <w:r w:rsidR="000474BC">
        <w:rPr>
          <w:rFonts w:ascii="Times New Roman" w:hAnsi="Times New Roman" w:cs="Times New Roman"/>
          <w:sz w:val="24"/>
          <w:szCs w:val="24"/>
        </w:rPr>
        <w:t xml:space="preserve">  </w:t>
      </w:r>
      <w:r w:rsidR="008C1272">
        <w:rPr>
          <w:rFonts w:ascii="Times New Roman" w:hAnsi="Times New Roman" w:cs="Times New Roman"/>
          <w:sz w:val="24"/>
          <w:szCs w:val="24"/>
        </w:rPr>
        <w:t>At this point, m</w:t>
      </w:r>
      <w:r w:rsidR="000474BC">
        <w:rPr>
          <w:rFonts w:ascii="Times New Roman" w:hAnsi="Times New Roman" w:cs="Times New Roman"/>
          <w:sz w:val="24"/>
          <w:szCs w:val="24"/>
        </w:rPr>
        <w:t>arket participants have</w:t>
      </w:r>
      <w:r w:rsidR="008C1272">
        <w:rPr>
          <w:rFonts w:ascii="Times New Roman" w:hAnsi="Times New Roman" w:cs="Times New Roman"/>
          <w:sz w:val="24"/>
          <w:szCs w:val="24"/>
        </w:rPr>
        <w:t xml:space="preserve"> primarily</w:t>
      </w:r>
      <w:r w:rsidR="000474BC">
        <w:rPr>
          <w:rFonts w:ascii="Times New Roman" w:hAnsi="Times New Roman" w:cs="Times New Roman"/>
          <w:sz w:val="24"/>
          <w:szCs w:val="24"/>
        </w:rPr>
        <w:t xml:space="preserve"> completed hedging activities for summer so any changes</w:t>
      </w:r>
      <w:r w:rsidR="008C1272">
        <w:rPr>
          <w:rFonts w:ascii="Times New Roman" w:hAnsi="Times New Roman" w:cs="Times New Roman"/>
          <w:sz w:val="24"/>
          <w:szCs w:val="24"/>
        </w:rPr>
        <w:t xml:space="preserve"> would disrupt prior transactions.</w:t>
      </w:r>
    </w:p>
    <w:p w14:paraId="6BF6850F" w14:textId="33E34180" w:rsidR="00AC7CA1" w:rsidRDefault="00795B8B" w:rsidP="00027214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1AB1">
        <w:rPr>
          <w:rFonts w:ascii="Times New Roman" w:hAnsi="Times New Roman" w:cs="Times New Roman"/>
          <w:sz w:val="24"/>
          <w:szCs w:val="24"/>
        </w:rPr>
        <w:t xml:space="preserve">As explained in NRG’s </w:t>
      </w:r>
      <w:r w:rsidR="00947155">
        <w:rPr>
          <w:rFonts w:ascii="Times New Roman" w:hAnsi="Times New Roman" w:cs="Times New Roman"/>
          <w:sz w:val="24"/>
          <w:szCs w:val="24"/>
        </w:rPr>
        <w:t xml:space="preserve">initial and reply </w:t>
      </w:r>
      <w:r w:rsidRPr="00861AB1">
        <w:rPr>
          <w:rFonts w:ascii="Times New Roman" w:hAnsi="Times New Roman" w:cs="Times New Roman"/>
          <w:sz w:val="24"/>
          <w:szCs w:val="24"/>
        </w:rPr>
        <w:t xml:space="preserve">comments in this </w:t>
      </w:r>
      <w:r w:rsidR="00AC7CA1">
        <w:rPr>
          <w:rFonts w:ascii="Times New Roman" w:hAnsi="Times New Roman" w:cs="Times New Roman"/>
          <w:sz w:val="24"/>
          <w:szCs w:val="24"/>
        </w:rPr>
        <w:t>project</w:t>
      </w:r>
      <w:r w:rsidRPr="00861AB1">
        <w:rPr>
          <w:rFonts w:ascii="Times New Roman" w:hAnsi="Times New Roman" w:cs="Times New Roman"/>
          <w:sz w:val="24"/>
          <w:szCs w:val="24"/>
        </w:rPr>
        <w:t>,</w:t>
      </w:r>
      <w:r w:rsidRPr="00861AB1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3F3562" w:rsidRPr="00861AB1">
        <w:rPr>
          <w:rFonts w:ascii="Times New Roman" w:hAnsi="Times New Roman" w:cs="Times New Roman"/>
          <w:sz w:val="24"/>
          <w:szCs w:val="24"/>
        </w:rPr>
        <w:t>th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e scarcity pricing mechanism, including the calculation of the peaker net margin (PNM) which </w:t>
      </w:r>
      <w:r w:rsidR="00947155">
        <w:rPr>
          <w:rFonts w:ascii="Times New Roman" w:hAnsi="Times New Roman" w:cs="Times New Roman"/>
          <w:sz w:val="24"/>
          <w:szCs w:val="24"/>
        </w:rPr>
        <w:t>lowers</w:t>
      </w:r>
      <w:r w:rsidR="00947155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EE6DFE" w:rsidRPr="00861AB1">
        <w:rPr>
          <w:rFonts w:ascii="Times New Roman" w:hAnsi="Times New Roman" w:cs="Times New Roman"/>
          <w:sz w:val="24"/>
          <w:szCs w:val="24"/>
        </w:rPr>
        <w:t>the System-Wide Offer Cap (SWCAP) to the LCAP for the remainder of a calendar year</w:t>
      </w:r>
      <w:r w:rsidR="00947155">
        <w:rPr>
          <w:rFonts w:ascii="Times New Roman" w:hAnsi="Times New Roman" w:cs="Times New Roman"/>
          <w:sz w:val="24"/>
          <w:szCs w:val="24"/>
        </w:rPr>
        <w:t xml:space="preserve"> after a threshold has been met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, </w:t>
      </w:r>
      <w:r w:rsidR="00947155">
        <w:rPr>
          <w:rFonts w:ascii="Times New Roman" w:hAnsi="Times New Roman" w:cs="Times New Roman"/>
          <w:sz w:val="24"/>
          <w:szCs w:val="24"/>
        </w:rPr>
        <w:t>provides</w:t>
      </w:r>
      <w:r w:rsidR="00947155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an important </w:t>
      </w:r>
      <w:r w:rsidR="00947155">
        <w:rPr>
          <w:rFonts w:ascii="Times New Roman" w:hAnsi="Times New Roman" w:cs="Times New Roman"/>
          <w:sz w:val="24"/>
          <w:szCs w:val="24"/>
        </w:rPr>
        <w:t xml:space="preserve">cost containment </w:t>
      </w:r>
      <w:r w:rsidR="00EE6DFE" w:rsidRPr="00861AB1">
        <w:rPr>
          <w:rFonts w:ascii="Times New Roman" w:hAnsi="Times New Roman" w:cs="Times New Roman"/>
          <w:sz w:val="24"/>
          <w:szCs w:val="24"/>
        </w:rPr>
        <w:t>mechanism</w:t>
      </w:r>
      <w:r w:rsidR="00947155">
        <w:rPr>
          <w:rFonts w:ascii="Times New Roman" w:hAnsi="Times New Roman" w:cs="Times New Roman"/>
          <w:sz w:val="24"/>
          <w:szCs w:val="24"/>
        </w:rPr>
        <w:t xml:space="preserve"> for consumers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.  The PNM concept </w:t>
      </w:r>
      <w:r w:rsidR="00EE6DFE" w:rsidRPr="00861AB1">
        <w:rPr>
          <w:rFonts w:ascii="Times New Roman" w:hAnsi="Times New Roman" w:cs="Times New Roman"/>
          <w:sz w:val="24"/>
          <w:szCs w:val="24"/>
        </w:rPr>
        <w:lastRenderedPageBreak/>
        <w:t>has been in Commission rule since 2006</w:t>
      </w:r>
      <w:r w:rsidR="00EE6DFE" w:rsidRPr="00861AB1">
        <w:rPr>
          <w:sz w:val="24"/>
          <w:szCs w:val="24"/>
          <w:vertAlign w:val="superscript"/>
        </w:rPr>
        <w:footnoteReference w:id="3"/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 and </w:t>
      </w:r>
      <w:r w:rsidR="00A232DE">
        <w:rPr>
          <w:rFonts w:ascii="Times New Roman" w:hAnsi="Times New Roman" w:cs="Times New Roman"/>
          <w:sz w:val="24"/>
          <w:szCs w:val="24"/>
        </w:rPr>
        <w:t>acts as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 a circuit breaker to protect consumers from a prolonged period of extremely high prices in the ERCOT market.  The </w:t>
      </w:r>
      <w:r w:rsidR="00A232DE">
        <w:rPr>
          <w:rFonts w:ascii="Times New Roman" w:hAnsi="Times New Roman" w:cs="Times New Roman"/>
          <w:sz w:val="24"/>
          <w:szCs w:val="24"/>
        </w:rPr>
        <w:t>SWCAP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 is set at the $9,000/MWh high system-wide offer cap (HCAP) until the PNM exceeds a threshold of three times the cost of entry of a new generation plant.</w:t>
      </w:r>
      <w:r w:rsidR="00EE6DFE" w:rsidRPr="00861AB1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  When that threshold is met, the SWCAP</w:t>
      </w:r>
      <w:r w:rsidR="00A232DE">
        <w:rPr>
          <w:rFonts w:ascii="Times New Roman" w:hAnsi="Times New Roman" w:cs="Times New Roman"/>
          <w:sz w:val="24"/>
          <w:szCs w:val="24"/>
        </w:rPr>
        <w:t xml:space="preserve"> is lowered</w:t>
      </w:r>
      <w:r w:rsidR="00EE6DFE" w:rsidRPr="00861AB1">
        <w:rPr>
          <w:rFonts w:ascii="Times New Roman" w:hAnsi="Times New Roman" w:cs="Times New Roman"/>
          <w:sz w:val="24"/>
          <w:szCs w:val="24"/>
        </w:rPr>
        <w:t xml:space="preserve"> from $9,000/MWh to the LCAP.</w:t>
      </w:r>
      <w:r w:rsidR="00C15670" w:rsidRPr="00861AB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C81D075" w14:textId="54376BB7" w:rsidR="000F75FF" w:rsidRPr="00861AB1" w:rsidRDefault="00AC7CA1" w:rsidP="00027214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F60ED3">
        <w:rPr>
          <w:rFonts w:ascii="Times New Roman" w:hAnsi="Times New Roman" w:cs="Times New Roman"/>
          <w:sz w:val="24"/>
          <w:szCs w:val="24"/>
        </w:rPr>
        <w:t xml:space="preserve">pricing </w:t>
      </w:r>
      <w:r>
        <w:rPr>
          <w:rFonts w:ascii="Times New Roman" w:hAnsi="Times New Roman" w:cs="Times New Roman"/>
          <w:sz w:val="24"/>
          <w:szCs w:val="24"/>
        </w:rPr>
        <w:t>circuit breaker concept is a</w:t>
      </w:r>
      <w:r w:rsidR="00F60ED3">
        <w:rPr>
          <w:rFonts w:ascii="Times New Roman" w:hAnsi="Times New Roman" w:cs="Times New Roman"/>
          <w:sz w:val="24"/>
          <w:szCs w:val="24"/>
        </w:rPr>
        <w:t>n important policy in this energy-only market</w:t>
      </w:r>
      <w:r>
        <w:rPr>
          <w:rFonts w:ascii="Times New Roman" w:hAnsi="Times New Roman" w:cs="Times New Roman"/>
          <w:sz w:val="24"/>
          <w:szCs w:val="24"/>
        </w:rPr>
        <w:t xml:space="preserve">, but </w:t>
      </w:r>
      <w:r w:rsidR="00F60ED3">
        <w:rPr>
          <w:rFonts w:ascii="Times New Roman" w:hAnsi="Times New Roman" w:cs="Times New Roman"/>
          <w:sz w:val="24"/>
          <w:szCs w:val="24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needs improvement to ensure that it acts as intended.  A</w:t>
      </w:r>
      <w:r w:rsidR="00186439">
        <w:rPr>
          <w:rFonts w:ascii="Times New Roman" w:hAnsi="Times New Roman" w:cs="Times New Roman"/>
          <w:sz w:val="24"/>
          <w:szCs w:val="24"/>
        </w:rPr>
        <w:t xml:space="preserve">s currently </w:t>
      </w:r>
      <w:r w:rsidR="000D4715">
        <w:rPr>
          <w:rFonts w:ascii="Times New Roman" w:hAnsi="Times New Roman" w:cs="Times New Roman"/>
          <w:sz w:val="24"/>
          <w:szCs w:val="24"/>
        </w:rPr>
        <w:t>designed,</w:t>
      </w:r>
      <w:r w:rsidR="00186439">
        <w:rPr>
          <w:rFonts w:ascii="Times New Roman" w:hAnsi="Times New Roman" w:cs="Times New Roman"/>
          <w:sz w:val="24"/>
          <w:szCs w:val="24"/>
        </w:rPr>
        <w:t xml:space="preserve"> the LCAP </w:t>
      </w:r>
      <w:r w:rsidR="000D4715">
        <w:rPr>
          <w:rFonts w:ascii="Times New Roman" w:hAnsi="Times New Roman" w:cs="Times New Roman"/>
          <w:sz w:val="24"/>
          <w:szCs w:val="24"/>
        </w:rPr>
        <w:t xml:space="preserve">is set at </w:t>
      </w:r>
      <w:r w:rsidR="00186439">
        <w:rPr>
          <w:rFonts w:ascii="Times New Roman" w:hAnsi="Times New Roman" w:cs="Times New Roman"/>
          <w:sz w:val="24"/>
          <w:szCs w:val="24"/>
        </w:rPr>
        <w:t>the greater of $2,000/MWh or $50 times</w:t>
      </w:r>
      <w:r w:rsidR="00003E94">
        <w:rPr>
          <w:rFonts w:ascii="Times New Roman" w:hAnsi="Times New Roman" w:cs="Times New Roman"/>
          <w:sz w:val="24"/>
          <w:szCs w:val="24"/>
        </w:rPr>
        <w:t xml:space="preserve"> the natural gas price index (50x component)</w:t>
      </w:r>
      <w:r w:rsidR="000D4715">
        <w:rPr>
          <w:rFonts w:ascii="Times New Roman" w:hAnsi="Times New Roman" w:cs="Times New Roman"/>
          <w:sz w:val="24"/>
          <w:szCs w:val="24"/>
        </w:rPr>
        <w:t>.</w:t>
      </w:r>
      <w:r w:rsidR="00003E94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  <w:r w:rsidR="00186439">
        <w:rPr>
          <w:rFonts w:ascii="Times New Roman" w:hAnsi="Times New Roman" w:cs="Times New Roman"/>
          <w:sz w:val="24"/>
          <w:szCs w:val="24"/>
        </w:rPr>
        <w:t xml:space="preserve"> </w:t>
      </w:r>
      <w:r w:rsidR="000D4715">
        <w:rPr>
          <w:rFonts w:ascii="Times New Roman" w:hAnsi="Times New Roman" w:cs="Times New Roman"/>
          <w:sz w:val="24"/>
          <w:szCs w:val="24"/>
        </w:rPr>
        <w:t xml:space="preserve"> Therefore, </w:t>
      </w:r>
      <w:r w:rsidR="00186439">
        <w:rPr>
          <w:rFonts w:ascii="Times New Roman" w:hAnsi="Times New Roman" w:cs="Times New Roman"/>
          <w:sz w:val="24"/>
          <w:szCs w:val="24"/>
        </w:rPr>
        <w:t xml:space="preserve">situations can arise where the </w:t>
      </w:r>
      <w:r w:rsidR="002B3723">
        <w:rPr>
          <w:rFonts w:ascii="Times New Roman" w:hAnsi="Times New Roman" w:cs="Times New Roman"/>
          <w:sz w:val="24"/>
          <w:szCs w:val="24"/>
        </w:rPr>
        <w:t xml:space="preserve">50x component </w:t>
      </w:r>
      <w:r w:rsidR="000D4715">
        <w:rPr>
          <w:rFonts w:ascii="Times New Roman" w:hAnsi="Times New Roman" w:cs="Times New Roman"/>
          <w:sz w:val="24"/>
          <w:szCs w:val="24"/>
        </w:rPr>
        <w:t>c</w:t>
      </w:r>
      <w:r w:rsidR="002B3723">
        <w:rPr>
          <w:rFonts w:ascii="Times New Roman" w:hAnsi="Times New Roman" w:cs="Times New Roman"/>
          <w:sz w:val="24"/>
          <w:szCs w:val="24"/>
        </w:rPr>
        <w:t>ould exceed the HCAP</w:t>
      </w:r>
      <w:r w:rsidR="000D4715">
        <w:rPr>
          <w:rFonts w:ascii="Times New Roman" w:hAnsi="Times New Roman" w:cs="Times New Roman"/>
          <w:sz w:val="24"/>
          <w:szCs w:val="24"/>
        </w:rPr>
        <w:t>,</w:t>
      </w:r>
      <w:r w:rsidR="002B3723">
        <w:rPr>
          <w:rFonts w:ascii="Times New Roman" w:hAnsi="Times New Roman" w:cs="Times New Roman"/>
          <w:sz w:val="24"/>
          <w:szCs w:val="24"/>
        </w:rPr>
        <w:t xml:space="preserve"> contrary to the purpose of the circuit breaker mechanism.  </w:t>
      </w:r>
      <w:r w:rsidR="00BE1229">
        <w:rPr>
          <w:rFonts w:ascii="Times New Roman" w:hAnsi="Times New Roman" w:cs="Times New Roman"/>
          <w:sz w:val="24"/>
          <w:szCs w:val="24"/>
        </w:rPr>
        <w:t xml:space="preserve">  The </w:t>
      </w:r>
      <w:r w:rsidR="003F3562" w:rsidRPr="00861AB1">
        <w:rPr>
          <w:rFonts w:ascii="Times New Roman" w:hAnsi="Times New Roman" w:cs="Times New Roman"/>
          <w:sz w:val="24"/>
          <w:szCs w:val="24"/>
        </w:rPr>
        <w:t xml:space="preserve">proposed amendments </w:t>
      </w:r>
      <w:r w:rsidR="009E4ED4">
        <w:rPr>
          <w:rFonts w:ascii="Times New Roman" w:hAnsi="Times New Roman" w:cs="Times New Roman"/>
          <w:sz w:val="24"/>
          <w:szCs w:val="24"/>
        </w:rPr>
        <w:t>address the issues with the current rule, and</w:t>
      </w:r>
      <w:r w:rsidR="00180741">
        <w:rPr>
          <w:rFonts w:ascii="Times New Roman" w:hAnsi="Times New Roman" w:cs="Times New Roman"/>
          <w:sz w:val="24"/>
          <w:szCs w:val="24"/>
        </w:rPr>
        <w:t xml:space="preserve"> </w:t>
      </w:r>
      <w:r w:rsidR="00BE1229">
        <w:rPr>
          <w:rFonts w:ascii="Times New Roman" w:hAnsi="Times New Roman" w:cs="Times New Roman"/>
          <w:sz w:val="24"/>
          <w:szCs w:val="24"/>
        </w:rPr>
        <w:t xml:space="preserve">better </w:t>
      </w:r>
      <w:r w:rsidR="003F3562" w:rsidRPr="00861AB1">
        <w:rPr>
          <w:rFonts w:ascii="Times New Roman" w:hAnsi="Times New Roman" w:cs="Times New Roman"/>
          <w:sz w:val="24"/>
          <w:szCs w:val="24"/>
        </w:rPr>
        <w:t>a</w:t>
      </w:r>
      <w:r w:rsidR="00172E6B" w:rsidRPr="00861AB1">
        <w:rPr>
          <w:rFonts w:ascii="Times New Roman" w:hAnsi="Times New Roman" w:cs="Times New Roman"/>
          <w:sz w:val="24"/>
          <w:szCs w:val="24"/>
        </w:rPr>
        <w:t xml:space="preserve">ccommodate a situation where very high natural gas prices increase the cost of generation to be above $2,000/MWh, </w:t>
      </w:r>
      <w:r w:rsidR="00DA7E17" w:rsidRPr="00861AB1">
        <w:rPr>
          <w:rFonts w:ascii="Times New Roman" w:hAnsi="Times New Roman" w:cs="Times New Roman"/>
          <w:sz w:val="24"/>
          <w:szCs w:val="24"/>
        </w:rPr>
        <w:t>by</w:t>
      </w:r>
      <w:r w:rsidR="00172E6B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DA7E17" w:rsidRPr="00861AB1">
        <w:rPr>
          <w:rFonts w:ascii="Times New Roman" w:hAnsi="Times New Roman" w:cs="Times New Roman"/>
          <w:sz w:val="24"/>
          <w:szCs w:val="24"/>
        </w:rPr>
        <w:t xml:space="preserve">maintaining the LCAP at $2,000/MWh and </w:t>
      </w:r>
      <w:r w:rsidR="00172E6B" w:rsidRPr="00861AB1">
        <w:rPr>
          <w:rFonts w:ascii="Times New Roman" w:hAnsi="Times New Roman" w:cs="Times New Roman"/>
          <w:sz w:val="24"/>
          <w:szCs w:val="24"/>
        </w:rPr>
        <w:t xml:space="preserve">allowing generators to recover </w:t>
      </w:r>
      <w:r>
        <w:rPr>
          <w:rFonts w:ascii="Times New Roman" w:hAnsi="Times New Roman" w:cs="Times New Roman"/>
          <w:sz w:val="24"/>
          <w:szCs w:val="24"/>
        </w:rPr>
        <w:t xml:space="preserve">certain </w:t>
      </w:r>
      <w:r w:rsidR="00172E6B" w:rsidRPr="00861AB1">
        <w:rPr>
          <w:rFonts w:ascii="Times New Roman" w:hAnsi="Times New Roman" w:cs="Times New Roman"/>
          <w:sz w:val="24"/>
          <w:szCs w:val="24"/>
        </w:rPr>
        <w:t>costs</w:t>
      </w:r>
      <w:r w:rsidR="007E58E2" w:rsidRPr="00861AB1">
        <w:rPr>
          <w:rFonts w:ascii="Times New Roman" w:hAnsi="Times New Roman" w:cs="Times New Roman"/>
          <w:sz w:val="24"/>
          <w:szCs w:val="24"/>
        </w:rPr>
        <w:t xml:space="preserve"> through make-whole settlement</w:t>
      </w:r>
      <w:r w:rsidR="00172E6B" w:rsidRPr="00861AB1">
        <w:rPr>
          <w:rFonts w:ascii="Times New Roman" w:hAnsi="Times New Roman" w:cs="Times New Roman"/>
          <w:sz w:val="24"/>
          <w:szCs w:val="24"/>
        </w:rPr>
        <w:t>.</w:t>
      </w:r>
      <w:r w:rsidR="00C15670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="00180741">
        <w:rPr>
          <w:rFonts w:ascii="Times New Roman" w:hAnsi="Times New Roman" w:cs="Times New Roman"/>
          <w:sz w:val="24"/>
          <w:szCs w:val="24"/>
        </w:rPr>
        <w:t xml:space="preserve"> </w:t>
      </w:r>
      <w:r w:rsidR="00180741" w:rsidRPr="00861AB1">
        <w:rPr>
          <w:rFonts w:ascii="Times New Roman" w:hAnsi="Times New Roman" w:cs="Times New Roman"/>
          <w:sz w:val="24"/>
          <w:szCs w:val="24"/>
        </w:rPr>
        <w:t xml:space="preserve">However, </w:t>
      </w:r>
      <w:r w:rsidR="00850370">
        <w:rPr>
          <w:rFonts w:ascii="Times New Roman" w:hAnsi="Times New Roman" w:cs="Times New Roman"/>
          <w:sz w:val="24"/>
          <w:szCs w:val="24"/>
        </w:rPr>
        <w:t xml:space="preserve">the cost recovery mechanism should include a </w:t>
      </w:r>
      <w:r w:rsidR="00F60ED3">
        <w:rPr>
          <w:rFonts w:ascii="Times New Roman" w:hAnsi="Times New Roman" w:cs="Times New Roman"/>
          <w:sz w:val="24"/>
          <w:szCs w:val="24"/>
        </w:rPr>
        <w:t>reasonable</w:t>
      </w:r>
      <w:r w:rsidR="00850370">
        <w:rPr>
          <w:rFonts w:ascii="Times New Roman" w:hAnsi="Times New Roman" w:cs="Times New Roman"/>
          <w:sz w:val="24"/>
          <w:szCs w:val="24"/>
        </w:rPr>
        <w:t xml:space="preserve"> margin to ensure </w:t>
      </w:r>
      <w:r w:rsidR="00FB5DF1">
        <w:rPr>
          <w:rFonts w:ascii="Times New Roman" w:hAnsi="Times New Roman" w:cs="Times New Roman"/>
          <w:sz w:val="24"/>
          <w:szCs w:val="24"/>
        </w:rPr>
        <w:t xml:space="preserve">generators </w:t>
      </w:r>
      <w:r w:rsidR="00850370">
        <w:rPr>
          <w:rFonts w:ascii="Times New Roman" w:hAnsi="Times New Roman" w:cs="Times New Roman"/>
          <w:sz w:val="24"/>
          <w:szCs w:val="24"/>
        </w:rPr>
        <w:t>do not</w:t>
      </w:r>
      <w:r w:rsidR="00FB5DF1">
        <w:rPr>
          <w:rFonts w:ascii="Times New Roman" w:hAnsi="Times New Roman" w:cs="Times New Roman"/>
          <w:sz w:val="24"/>
          <w:szCs w:val="24"/>
        </w:rPr>
        <w:t xml:space="preserve"> risk operating at a loss during </w:t>
      </w:r>
      <w:r w:rsidR="00850370">
        <w:rPr>
          <w:rFonts w:ascii="Times New Roman" w:hAnsi="Times New Roman" w:cs="Times New Roman"/>
          <w:sz w:val="24"/>
          <w:szCs w:val="24"/>
        </w:rPr>
        <w:t>a period of high fuel prices</w:t>
      </w:r>
      <w:r w:rsidR="00F13925">
        <w:rPr>
          <w:rFonts w:ascii="Times New Roman" w:hAnsi="Times New Roman" w:cs="Times New Roman"/>
          <w:sz w:val="24"/>
          <w:szCs w:val="24"/>
        </w:rPr>
        <w:t xml:space="preserve"> and have sufficient performance incentives</w:t>
      </w:r>
      <w:r w:rsidR="00180741" w:rsidRPr="00861AB1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678DFE4" w14:textId="58CEC9C7" w:rsidR="007E5CAE" w:rsidRPr="00861AB1" w:rsidRDefault="007E5CAE" w:rsidP="007E5CAE"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861AB1">
        <w:rPr>
          <w:rFonts w:ascii="Times New Roman" w:hAnsi="Times New Roman" w:cs="Times New Roman"/>
          <w:b/>
          <w:smallCaps/>
          <w:sz w:val="24"/>
          <w:szCs w:val="24"/>
        </w:rPr>
        <w:t>Proposed Modification</w:t>
      </w:r>
      <w:r w:rsidR="00472EA2" w:rsidRPr="00861AB1">
        <w:rPr>
          <w:rFonts w:ascii="Times New Roman" w:hAnsi="Times New Roman" w:cs="Times New Roman"/>
          <w:b/>
          <w:smallCaps/>
          <w:sz w:val="24"/>
          <w:szCs w:val="24"/>
        </w:rPr>
        <w:t xml:space="preserve"> – Inclusion of a </w:t>
      </w:r>
      <w:r w:rsidR="00AC7CA1">
        <w:rPr>
          <w:rFonts w:ascii="Times New Roman" w:hAnsi="Times New Roman" w:cs="Times New Roman"/>
          <w:b/>
          <w:smallCaps/>
          <w:sz w:val="24"/>
          <w:szCs w:val="24"/>
        </w:rPr>
        <w:t xml:space="preserve">Reasonable Margin in the </w:t>
      </w:r>
      <w:r w:rsidR="00003425">
        <w:rPr>
          <w:rFonts w:ascii="Times New Roman" w:hAnsi="Times New Roman" w:cs="Times New Roman"/>
          <w:b/>
          <w:smallCaps/>
          <w:sz w:val="24"/>
          <w:szCs w:val="24"/>
        </w:rPr>
        <w:t>Cost Recovery M</w:t>
      </w:r>
      <w:r w:rsidR="00AC7CA1">
        <w:rPr>
          <w:rFonts w:ascii="Times New Roman" w:hAnsi="Times New Roman" w:cs="Times New Roman"/>
          <w:b/>
          <w:smallCaps/>
          <w:sz w:val="24"/>
          <w:szCs w:val="24"/>
        </w:rPr>
        <w:t>echanism Provided in New Subsection (</w:t>
      </w:r>
      <w:r w:rsidR="0043118B" w:rsidRPr="00FB3C36">
        <w:rPr>
          <w:rFonts w:ascii="Times New Roman" w:hAnsi="Times New Roman" w:cs="Times New Roman"/>
          <w:b/>
          <w:sz w:val="24"/>
          <w:szCs w:val="24"/>
        </w:rPr>
        <w:t>g</w:t>
      </w:r>
      <w:r w:rsidR="00AC7CA1">
        <w:rPr>
          <w:rFonts w:ascii="Times New Roman" w:hAnsi="Times New Roman" w:cs="Times New Roman"/>
          <w:b/>
          <w:smallCaps/>
          <w:sz w:val="24"/>
          <w:szCs w:val="24"/>
        </w:rPr>
        <w:t xml:space="preserve">)(7) </w:t>
      </w:r>
    </w:p>
    <w:p w14:paraId="6324A00E" w14:textId="0D6868E2" w:rsidR="00834895" w:rsidRDefault="00F52AD2" w:rsidP="007E5CAE">
      <w:pPr>
        <w:spacing w:after="24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1AB1">
        <w:rPr>
          <w:rFonts w:ascii="Times New Roman" w:hAnsi="Times New Roman" w:cs="Times New Roman"/>
          <w:sz w:val="24"/>
          <w:szCs w:val="24"/>
        </w:rPr>
        <w:t xml:space="preserve">NRG </w:t>
      </w:r>
      <w:r w:rsidR="00F13925">
        <w:rPr>
          <w:rFonts w:ascii="Times New Roman" w:hAnsi="Times New Roman" w:cs="Times New Roman"/>
          <w:sz w:val="24"/>
          <w:szCs w:val="24"/>
        </w:rPr>
        <w:t>recommends</w:t>
      </w:r>
      <w:r w:rsidR="00F13925" w:rsidRPr="00861AB1">
        <w:rPr>
          <w:rFonts w:ascii="Times New Roman" w:hAnsi="Times New Roman" w:cs="Times New Roman"/>
          <w:sz w:val="24"/>
          <w:szCs w:val="24"/>
        </w:rPr>
        <w:t xml:space="preserve"> </w:t>
      </w:r>
      <w:r w:rsidRPr="00861AB1">
        <w:rPr>
          <w:rFonts w:ascii="Times New Roman" w:hAnsi="Times New Roman" w:cs="Times New Roman"/>
          <w:sz w:val="24"/>
          <w:szCs w:val="24"/>
        </w:rPr>
        <w:t xml:space="preserve">that the cost recovery mechanism in proposed subsection (g)(7) include a </w:t>
      </w:r>
      <w:r w:rsidR="006B0C6E">
        <w:rPr>
          <w:rFonts w:ascii="Times New Roman" w:hAnsi="Times New Roman" w:cs="Times New Roman"/>
          <w:sz w:val="24"/>
          <w:szCs w:val="24"/>
        </w:rPr>
        <w:t xml:space="preserve">reasonable </w:t>
      </w:r>
      <w:r>
        <w:rPr>
          <w:rFonts w:ascii="Times New Roman" w:hAnsi="Times New Roman" w:cs="Times New Roman"/>
          <w:sz w:val="24"/>
          <w:szCs w:val="24"/>
        </w:rPr>
        <w:t xml:space="preserve">margin </w:t>
      </w:r>
      <w:r w:rsidR="000C06E9">
        <w:rPr>
          <w:rFonts w:ascii="Times New Roman" w:hAnsi="Times New Roman" w:cs="Times New Roman"/>
          <w:sz w:val="24"/>
          <w:szCs w:val="24"/>
        </w:rPr>
        <w:t>to ensure costs are fully recovered and to provide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AB1">
        <w:rPr>
          <w:rFonts w:ascii="Times New Roman" w:hAnsi="Times New Roman" w:cs="Times New Roman"/>
          <w:sz w:val="24"/>
          <w:szCs w:val="24"/>
        </w:rPr>
        <w:t>performance incentive, consistent with NRG’s reply comments to TIEC’s comments on the questions posed in</w:t>
      </w:r>
      <w:r w:rsidR="00996756">
        <w:rPr>
          <w:rFonts w:ascii="Times New Roman" w:hAnsi="Times New Roman" w:cs="Times New Roman"/>
          <w:sz w:val="24"/>
          <w:szCs w:val="24"/>
        </w:rPr>
        <w:t xml:space="preserve"> </w:t>
      </w:r>
      <w:r w:rsidRPr="00861AB1">
        <w:rPr>
          <w:rFonts w:ascii="Times New Roman" w:hAnsi="Times New Roman" w:cs="Times New Roman"/>
          <w:sz w:val="24"/>
          <w:szCs w:val="24"/>
        </w:rPr>
        <w:t>this rulemaking.</w:t>
      </w:r>
      <w:r w:rsidRPr="00861AB1"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  <w:r w:rsidRPr="00861AB1">
        <w:rPr>
          <w:rFonts w:ascii="Times New Roman" w:hAnsi="Times New Roman" w:cs="Times New Roman"/>
          <w:sz w:val="24"/>
          <w:szCs w:val="24"/>
        </w:rPr>
        <w:t xml:space="preserve">  </w:t>
      </w:r>
      <w:r w:rsidR="00021F60">
        <w:rPr>
          <w:rFonts w:ascii="Times New Roman" w:hAnsi="Times New Roman" w:cs="Times New Roman"/>
          <w:sz w:val="24"/>
          <w:szCs w:val="24"/>
        </w:rPr>
        <w:t>Implementing a cost recovery process that is too r</w:t>
      </w:r>
      <w:r w:rsidR="006B0C6E">
        <w:rPr>
          <w:rFonts w:ascii="Times New Roman" w:hAnsi="Times New Roman" w:cs="Times New Roman"/>
          <w:sz w:val="24"/>
          <w:szCs w:val="24"/>
        </w:rPr>
        <w:t>estrictive</w:t>
      </w:r>
      <w:r w:rsidR="00021F60">
        <w:rPr>
          <w:rFonts w:ascii="Times New Roman" w:hAnsi="Times New Roman" w:cs="Times New Roman"/>
          <w:sz w:val="24"/>
          <w:szCs w:val="24"/>
        </w:rPr>
        <w:t xml:space="preserve"> could create a disincentive for generators to continue to operate</w:t>
      </w:r>
      <w:r w:rsidR="00AB68A5">
        <w:rPr>
          <w:rFonts w:ascii="Times New Roman" w:hAnsi="Times New Roman" w:cs="Times New Roman"/>
          <w:sz w:val="24"/>
          <w:szCs w:val="24"/>
        </w:rPr>
        <w:t xml:space="preserve"> after the LCAP is triggered.</w:t>
      </w:r>
    </w:p>
    <w:p w14:paraId="48EABBCC" w14:textId="2CB72B11" w:rsidR="000C06E9" w:rsidRDefault="000C06E9" w:rsidP="00FB3C36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As envisioned in the proposed rule change, ERCOT would leverage existing settlement processes to the extent possible to implement the </w:t>
      </w:r>
      <w:r w:rsidR="00F60ED3">
        <w:rPr>
          <w:rFonts w:ascii="Times New Roman" w:hAnsi="Times New Roman" w:cs="Times New Roman"/>
          <w:sz w:val="24"/>
          <w:szCs w:val="24"/>
        </w:rPr>
        <w:t xml:space="preserve">cost </w:t>
      </w:r>
      <w:r w:rsidR="006B0C6E">
        <w:rPr>
          <w:rFonts w:ascii="Times New Roman" w:hAnsi="Times New Roman" w:cs="Times New Roman"/>
          <w:sz w:val="24"/>
          <w:szCs w:val="24"/>
        </w:rPr>
        <w:t>reimbursement</w:t>
      </w:r>
      <w:r>
        <w:rPr>
          <w:rFonts w:ascii="Times New Roman" w:hAnsi="Times New Roman" w:cs="Times New Roman"/>
          <w:sz w:val="24"/>
          <w:szCs w:val="24"/>
        </w:rPr>
        <w:t xml:space="preserve"> mechanism.  NRG agrees that it is appropriate to use existing mechanisms to lower </w:t>
      </w:r>
      <w:r w:rsidR="00F60ED3">
        <w:rPr>
          <w:rFonts w:ascii="Times New Roman" w:hAnsi="Times New Roman" w:cs="Times New Roman"/>
          <w:sz w:val="24"/>
          <w:szCs w:val="24"/>
        </w:rPr>
        <w:t xml:space="preserve">implementation </w:t>
      </w:r>
      <w:r>
        <w:rPr>
          <w:rFonts w:ascii="Times New Roman" w:hAnsi="Times New Roman" w:cs="Times New Roman"/>
          <w:sz w:val="24"/>
          <w:szCs w:val="24"/>
        </w:rPr>
        <w:t xml:space="preserve">costs and resource utilization, however experience has shown that ERCOT and generators do not always agree on </w:t>
      </w:r>
      <w:r w:rsidR="00BE4875">
        <w:rPr>
          <w:rFonts w:ascii="Times New Roman" w:hAnsi="Times New Roman" w:cs="Times New Roman"/>
          <w:sz w:val="24"/>
          <w:szCs w:val="24"/>
        </w:rPr>
        <w:t>what constitutes appropriate</w:t>
      </w:r>
      <w:r>
        <w:rPr>
          <w:rFonts w:ascii="Times New Roman" w:hAnsi="Times New Roman" w:cs="Times New Roman"/>
          <w:sz w:val="24"/>
          <w:szCs w:val="24"/>
        </w:rPr>
        <w:t xml:space="preserve"> cost</w:t>
      </w:r>
      <w:r w:rsidR="00BE4875">
        <w:rPr>
          <w:rFonts w:ascii="Times New Roman" w:hAnsi="Times New Roman" w:cs="Times New Roman"/>
          <w:sz w:val="24"/>
          <w:szCs w:val="24"/>
        </w:rPr>
        <w:t>s eligible for recovery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BE4875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 xml:space="preserve">  If</w:t>
      </w:r>
      <w:r w:rsidR="00BE4875">
        <w:rPr>
          <w:rFonts w:ascii="Times New Roman" w:hAnsi="Times New Roman" w:cs="Times New Roman"/>
          <w:sz w:val="24"/>
          <w:szCs w:val="24"/>
        </w:rPr>
        <w:t xml:space="preserve"> a disagreement were to occur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BA1">
        <w:rPr>
          <w:rFonts w:ascii="Times New Roman" w:hAnsi="Times New Roman" w:cs="Times New Roman"/>
          <w:sz w:val="24"/>
          <w:szCs w:val="24"/>
        </w:rPr>
        <w:t>during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BA1">
        <w:rPr>
          <w:rFonts w:ascii="Times New Roman" w:hAnsi="Times New Roman" w:cs="Times New Roman"/>
          <w:sz w:val="24"/>
          <w:szCs w:val="24"/>
        </w:rPr>
        <w:t>the</w:t>
      </w:r>
      <w:r w:rsidR="006B0C6E">
        <w:rPr>
          <w:rFonts w:ascii="Times New Roman" w:hAnsi="Times New Roman" w:cs="Times New Roman"/>
          <w:sz w:val="24"/>
          <w:szCs w:val="24"/>
        </w:rPr>
        <w:t xml:space="preserve"> </w:t>
      </w:r>
      <w:r w:rsidR="00F60ED3">
        <w:rPr>
          <w:rFonts w:ascii="Times New Roman" w:hAnsi="Times New Roman" w:cs="Times New Roman"/>
          <w:sz w:val="24"/>
          <w:szCs w:val="24"/>
        </w:rPr>
        <w:t>cost</w:t>
      </w:r>
      <w:r w:rsidR="006B0C6E">
        <w:rPr>
          <w:rFonts w:ascii="Times New Roman" w:hAnsi="Times New Roman" w:cs="Times New Roman"/>
          <w:sz w:val="24"/>
          <w:szCs w:val="24"/>
        </w:rPr>
        <w:t xml:space="preserve"> reimbursement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6BA1">
        <w:rPr>
          <w:rFonts w:ascii="Times New Roman" w:hAnsi="Times New Roman" w:cs="Times New Roman"/>
          <w:sz w:val="24"/>
          <w:szCs w:val="24"/>
        </w:rPr>
        <w:t>process</w:t>
      </w:r>
      <w:r>
        <w:rPr>
          <w:rFonts w:ascii="Times New Roman" w:hAnsi="Times New Roman" w:cs="Times New Roman"/>
          <w:sz w:val="24"/>
          <w:szCs w:val="24"/>
        </w:rPr>
        <w:t xml:space="preserve">, there </w:t>
      </w:r>
      <w:r w:rsidR="00BE487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ould be an ongoing risk that generators </w:t>
      </w:r>
      <w:r w:rsidR="00BE4875">
        <w:rPr>
          <w:rFonts w:ascii="Times New Roman" w:hAnsi="Times New Roman" w:cs="Times New Roman"/>
          <w:sz w:val="24"/>
          <w:szCs w:val="24"/>
        </w:rPr>
        <w:t>would have to</w:t>
      </w:r>
      <w:r>
        <w:rPr>
          <w:rFonts w:ascii="Times New Roman" w:hAnsi="Times New Roman" w:cs="Times New Roman"/>
          <w:sz w:val="24"/>
          <w:szCs w:val="24"/>
        </w:rPr>
        <w:t xml:space="preserve"> operate at a loss </w:t>
      </w:r>
      <w:r w:rsidR="00B06FE7">
        <w:rPr>
          <w:rFonts w:ascii="Times New Roman" w:hAnsi="Times New Roman" w:cs="Times New Roman"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 w:rsidR="00BE4875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 xml:space="preserve"> costs were above </w:t>
      </w:r>
      <w:r w:rsidR="00B06FE7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$2,000/MWh</w:t>
      </w:r>
      <w:r w:rsidR="00B06FE7">
        <w:rPr>
          <w:rFonts w:ascii="Times New Roman" w:hAnsi="Times New Roman" w:cs="Times New Roman"/>
          <w:sz w:val="24"/>
          <w:szCs w:val="24"/>
        </w:rPr>
        <w:t xml:space="preserve"> LCAP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1B6BA1">
        <w:rPr>
          <w:rFonts w:ascii="Times New Roman" w:hAnsi="Times New Roman" w:cs="Times New Roman"/>
          <w:sz w:val="24"/>
          <w:szCs w:val="24"/>
        </w:rPr>
        <w:t xml:space="preserve">Clear rules </w:t>
      </w:r>
      <w:r w:rsidR="00345FF1">
        <w:rPr>
          <w:rFonts w:ascii="Times New Roman" w:hAnsi="Times New Roman" w:cs="Times New Roman"/>
          <w:sz w:val="24"/>
          <w:szCs w:val="24"/>
        </w:rPr>
        <w:t xml:space="preserve">developed </w:t>
      </w:r>
      <w:r w:rsidR="001B6BA1">
        <w:rPr>
          <w:rFonts w:ascii="Times New Roman" w:hAnsi="Times New Roman" w:cs="Times New Roman"/>
          <w:sz w:val="24"/>
          <w:szCs w:val="24"/>
        </w:rPr>
        <w:t xml:space="preserve">at ERCOT </w:t>
      </w:r>
      <w:r w:rsidR="00345FF1">
        <w:rPr>
          <w:rFonts w:ascii="Times New Roman" w:hAnsi="Times New Roman" w:cs="Times New Roman"/>
          <w:sz w:val="24"/>
          <w:szCs w:val="24"/>
        </w:rPr>
        <w:t>describing</w:t>
      </w:r>
      <w:r w:rsidR="001B6BA1">
        <w:rPr>
          <w:rFonts w:ascii="Times New Roman" w:hAnsi="Times New Roman" w:cs="Times New Roman"/>
          <w:sz w:val="24"/>
          <w:szCs w:val="24"/>
        </w:rPr>
        <w:t xml:space="preserve"> what costs are eligible for recovery would help prevent this </w:t>
      </w:r>
      <w:r w:rsidR="00345FF1">
        <w:rPr>
          <w:rFonts w:ascii="Times New Roman" w:hAnsi="Times New Roman" w:cs="Times New Roman"/>
          <w:sz w:val="24"/>
          <w:szCs w:val="24"/>
        </w:rPr>
        <w:t xml:space="preserve">situation, but ambiguity could certainly remain in the cost evaluation process.  </w:t>
      </w:r>
      <w:r w:rsidR="00B06FE7">
        <w:rPr>
          <w:rFonts w:ascii="Times New Roman" w:hAnsi="Times New Roman" w:cs="Times New Roman"/>
          <w:sz w:val="24"/>
          <w:szCs w:val="24"/>
        </w:rPr>
        <w:t xml:space="preserve">Further, during extreme weather events, fuel prices can be highly volatile </w:t>
      </w:r>
      <w:r w:rsidR="00021F60">
        <w:rPr>
          <w:rFonts w:ascii="Times New Roman" w:hAnsi="Times New Roman" w:cs="Times New Roman"/>
          <w:sz w:val="24"/>
          <w:szCs w:val="24"/>
        </w:rPr>
        <w:t xml:space="preserve">and difficult to document.  </w:t>
      </w:r>
      <w:r>
        <w:rPr>
          <w:rFonts w:ascii="Times New Roman" w:hAnsi="Times New Roman" w:cs="Times New Roman"/>
          <w:sz w:val="24"/>
          <w:szCs w:val="24"/>
        </w:rPr>
        <w:t xml:space="preserve">Adding a </w:t>
      </w:r>
      <w:r w:rsidR="00011299">
        <w:rPr>
          <w:rFonts w:ascii="Times New Roman" w:hAnsi="Times New Roman" w:cs="Times New Roman"/>
          <w:sz w:val="24"/>
          <w:szCs w:val="24"/>
        </w:rPr>
        <w:t>reasonable</w:t>
      </w:r>
      <w:r>
        <w:rPr>
          <w:rFonts w:ascii="Times New Roman" w:hAnsi="Times New Roman" w:cs="Times New Roman"/>
          <w:sz w:val="24"/>
          <w:szCs w:val="24"/>
        </w:rPr>
        <w:t xml:space="preserve"> margin </w:t>
      </w:r>
      <w:r w:rsidR="00B06FE7">
        <w:rPr>
          <w:rFonts w:ascii="Times New Roman" w:hAnsi="Times New Roman" w:cs="Times New Roman"/>
          <w:sz w:val="24"/>
          <w:szCs w:val="24"/>
        </w:rPr>
        <w:t xml:space="preserve">to the cost recovery mechanism </w:t>
      </w:r>
      <w:r>
        <w:rPr>
          <w:rFonts w:ascii="Times New Roman" w:hAnsi="Times New Roman" w:cs="Times New Roman"/>
          <w:sz w:val="24"/>
          <w:szCs w:val="24"/>
        </w:rPr>
        <w:t>would</w:t>
      </w:r>
      <w:r w:rsidR="00021F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help </w:t>
      </w:r>
      <w:r w:rsidR="00B06FE7">
        <w:rPr>
          <w:rFonts w:ascii="Times New Roman" w:hAnsi="Times New Roman" w:cs="Times New Roman"/>
          <w:sz w:val="24"/>
          <w:szCs w:val="24"/>
        </w:rPr>
        <w:t>avoid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6FE7">
        <w:rPr>
          <w:rFonts w:ascii="Times New Roman" w:hAnsi="Times New Roman" w:cs="Times New Roman"/>
          <w:sz w:val="24"/>
          <w:szCs w:val="24"/>
        </w:rPr>
        <w:t xml:space="preserve">financial </w:t>
      </w:r>
      <w:r>
        <w:rPr>
          <w:rFonts w:ascii="Times New Roman" w:hAnsi="Times New Roman" w:cs="Times New Roman"/>
          <w:sz w:val="24"/>
          <w:szCs w:val="24"/>
        </w:rPr>
        <w:t xml:space="preserve">losses </w:t>
      </w:r>
      <w:r w:rsidR="00021F60">
        <w:rPr>
          <w:rFonts w:ascii="Times New Roman" w:hAnsi="Times New Roman" w:cs="Times New Roman"/>
          <w:sz w:val="24"/>
          <w:szCs w:val="24"/>
        </w:rPr>
        <w:t xml:space="preserve">for generators resulting </w:t>
      </w:r>
      <w:r>
        <w:rPr>
          <w:rFonts w:ascii="Times New Roman" w:hAnsi="Times New Roman" w:cs="Times New Roman"/>
          <w:sz w:val="24"/>
          <w:szCs w:val="24"/>
        </w:rPr>
        <w:t xml:space="preserve">from differences in </w:t>
      </w:r>
      <w:r w:rsidR="00021F60">
        <w:rPr>
          <w:rFonts w:ascii="Times New Roman" w:hAnsi="Times New Roman" w:cs="Times New Roman"/>
          <w:sz w:val="24"/>
          <w:szCs w:val="24"/>
        </w:rPr>
        <w:t xml:space="preserve">realized </w:t>
      </w:r>
      <w:r>
        <w:rPr>
          <w:rFonts w:ascii="Times New Roman" w:hAnsi="Times New Roman" w:cs="Times New Roman"/>
          <w:sz w:val="24"/>
          <w:szCs w:val="24"/>
        </w:rPr>
        <w:t>cost</w:t>
      </w:r>
      <w:r w:rsidR="00D91E99">
        <w:rPr>
          <w:rFonts w:ascii="Times New Roman" w:hAnsi="Times New Roman" w:cs="Times New Roman"/>
          <w:sz w:val="24"/>
          <w:szCs w:val="24"/>
        </w:rPr>
        <w:t>s</w:t>
      </w:r>
      <w:r w:rsidR="00021F60">
        <w:rPr>
          <w:rFonts w:ascii="Times New Roman" w:hAnsi="Times New Roman" w:cs="Times New Roman"/>
          <w:sz w:val="24"/>
          <w:szCs w:val="24"/>
        </w:rPr>
        <w:t xml:space="preserve"> compared to those approved by ERCOT for recovery</w:t>
      </w:r>
      <w:r w:rsidR="00AB68A5">
        <w:rPr>
          <w:rFonts w:ascii="Times New Roman" w:hAnsi="Times New Roman" w:cs="Times New Roman"/>
          <w:sz w:val="24"/>
          <w:szCs w:val="24"/>
        </w:rPr>
        <w:t xml:space="preserve"> and ensure there are proper financial incentives to continue operation after the LCAP is triggered</w:t>
      </w:r>
      <w:r>
        <w:rPr>
          <w:rFonts w:ascii="Times New Roman" w:hAnsi="Times New Roman" w:cs="Times New Roman"/>
          <w:sz w:val="24"/>
          <w:szCs w:val="24"/>
        </w:rPr>
        <w:t>.</w:t>
      </w:r>
      <w:r w:rsidR="00345FF1">
        <w:rPr>
          <w:rFonts w:ascii="Times New Roman" w:hAnsi="Times New Roman" w:cs="Times New Roman"/>
          <w:sz w:val="24"/>
          <w:szCs w:val="24"/>
        </w:rPr>
        <w:t xml:space="preserve">  A reasonable margin could be implemented as a simple fixed $/MWh adder or percentage of variable cost submitted</w:t>
      </w:r>
      <w:r w:rsidR="00FC5BE8">
        <w:rPr>
          <w:rFonts w:ascii="Times New Roman" w:hAnsi="Times New Roman" w:cs="Times New Roman"/>
          <w:sz w:val="24"/>
          <w:szCs w:val="24"/>
        </w:rPr>
        <w:t>, not to exceed 10% of total cost reimbursed</w:t>
      </w:r>
      <w:r w:rsidR="00345FF1">
        <w:rPr>
          <w:rFonts w:ascii="Times New Roman" w:hAnsi="Times New Roman" w:cs="Times New Roman"/>
          <w:sz w:val="24"/>
          <w:szCs w:val="24"/>
        </w:rPr>
        <w:t>.</w:t>
      </w:r>
    </w:p>
    <w:p w14:paraId="227AAD6C" w14:textId="0757B99B" w:rsidR="00B3589E" w:rsidRPr="00861AB1" w:rsidRDefault="007E5CAE" w:rsidP="00FB3C36">
      <w:pPr>
        <w:spacing w:after="240" w:line="360" w:lineRule="auto"/>
        <w:ind w:firstLine="720"/>
        <w:jc w:val="both"/>
        <w:rPr>
          <w:rFonts w:ascii="Times New Roman" w:hAnsi="Times New Roman" w:cs="Times New Roman"/>
        </w:rPr>
      </w:pPr>
      <w:r w:rsidRPr="00861AB1">
        <w:rPr>
          <w:rFonts w:ascii="Times New Roman" w:hAnsi="Times New Roman" w:cs="Times New Roman"/>
          <w:sz w:val="24"/>
          <w:szCs w:val="24"/>
        </w:rPr>
        <w:t xml:space="preserve">NRG encourages the Commission to adopt this concept as part of </w:t>
      </w:r>
      <w:r w:rsidR="002235C6">
        <w:rPr>
          <w:rFonts w:ascii="Times New Roman" w:hAnsi="Times New Roman" w:cs="Times New Roman"/>
          <w:sz w:val="24"/>
          <w:szCs w:val="24"/>
        </w:rPr>
        <w:t xml:space="preserve">the amendments to 16 TAC § </w:t>
      </w:r>
      <w:r w:rsidR="0063689B">
        <w:rPr>
          <w:rFonts w:ascii="Times New Roman" w:hAnsi="Times New Roman" w:cs="Times New Roman"/>
          <w:sz w:val="24"/>
          <w:szCs w:val="24"/>
        </w:rPr>
        <w:t>2</w:t>
      </w:r>
      <w:r w:rsidR="002235C6">
        <w:rPr>
          <w:rFonts w:ascii="Times New Roman" w:hAnsi="Times New Roman" w:cs="Times New Roman"/>
          <w:sz w:val="24"/>
          <w:szCs w:val="24"/>
        </w:rPr>
        <w:t>5.505</w:t>
      </w:r>
      <w:r w:rsidR="00E75AA2">
        <w:rPr>
          <w:rFonts w:ascii="Times New Roman" w:hAnsi="Times New Roman" w:cs="Times New Roman"/>
          <w:sz w:val="24"/>
          <w:szCs w:val="24"/>
        </w:rPr>
        <w:t xml:space="preserve">, and believes it strikes the appropriate balance to ensure that the circuit breaker mechanism operates as intended without </w:t>
      </w:r>
      <w:r w:rsidR="00954FA3">
        <w:rPr>
          <w:rFonts w:ascii="Times New Roman" w:hAnsi="Times New Roman" w:cs="Times New Roman"/>
          <w:sz w:val="24"/>
          <w:szCs w:val="24"/>
        </w:rPr>
        <w:t>creating the risk of</w:t>
      </w:r>
      <w:r w:rsidR="002235C6">
        <w:rPr>
          <w:rFonts w:ascii="Times New Roman" w:hAnsi="Times New Roman" w:cs="Times New Roman"/>
          <w:sz w:val="24"/>
          <w:szCs w:val="24"/>
        </w:rPr>
        <w:t xml:space="preserve"> </w:t>
      </w:r>
      <w:r w:rsidR="00954FA3">
        <w:rPr>
          <w:rFonts w:ascii="Times New Roman" w:hAnsi="Times New Roman" w:cs="Times New Roman"/>
          <w:sz w:val="24"/>
          <w:szCs w:val="24"/>
        </w:rPr>
        <w:t>financial loss</w:t>
      </w:r>
      <w:r w:rsidR="002235C6">
        <w:rPr>
          <w:rFonts w:ascii="Times New Roman" w:hAnsi="Times New Roman" w:cs="Times New Roman"/>
          <w:sz w:val="24"/>
          <w:szCs w:val="24"/>
        </w:rPr>
        <w:t xml:space="preserve"> for generators to operate in times of scarcity</w:t>
      </w:r>
      <w:r w:rsidRPr="00861AB1">
        <w:rPr>
          <w:rFonts w:ascii="Times New Roman" w:hAnsi="Times New Roman" w:cs="Times New Roman"/>
          <w:sz w:val="24"/>
          <w:szCs w:val="24"/>
        </w:rPr>
        <w:t xml:space="preserve">.  </w:t>
      </w:r>
      <w:r w:rsidR="00431862">
        <w:rPr>
          <w:rFonts w:ascii="Times New Roman" w:hAnsi="Times New Roman" w:cs="Times New Roman"/>
          <w:sz w:val="24"/>
          <w:szCs w:val="24"/>
        </w:rPr>
        <w:t>A</w:t>
      </w:r>
      <w:r w:rsidR="00FE0A5E">
        <w:rPr>
          <w:rFonts w:ascii="Times New Roman" w:hAnsi="Times New Roman" w:cs="Times New Roman"/>
          <w:sz w:val="24"/>
          <w:szCs w:val="24"/>
        </w:rPr>
        <w:t>ccordingly,</w:t>
      </w:r>
      <w:r w:rsidR="00692C84" w:rsidRPr="00861AB1">
        <w:rPr>
          <w:rFonts w:ascii="Times New Roman" w:hAnsi="Times New Roman" w:cs="Times New Roman"/>
          <w:sz w:val="24"/>
          <w:szCs w:val="24"/>
        </w:rPr>
        <w:t xml:space="preserve"> NRG recommends the following changes to proposed subsection (g)(7)</w:t>
      </w:r>
      <w:r w:rsidR="0063689B">
        <w:rPr>
          <w:rFonts w:ascii="Times New Roman" w:hAnsi="Times New Roman" w:cs="Times New Roman"/>
          <w:sz w:val="24"/>
          <w:szCs w:val="24"/>
        </w:rPr>
        <w:t xml:space="preserve">.  </w:t>
      </w:r>
      <w:r w:rsidR="00953A7F" w:rsidRPr="00861AB1">
        <w:rPr>
          <w:rFonts w:ascii="Times New Roman" w:hAnsi="Times New Roman" w:cs="Times New Roman"/>
          <w:sz w:val="24"/>
          <w:szCs w:val="24"/>
        </w:rPr>
        <w:t>NRG’s recommended changes are double underlined.</w:t>
      </w:r>
      <w:r w:rsidR="00692C84" w:rsidRPr="00861A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03EA10" w14:textId="40A00728" w:rsidR="00C00616" w:rsidRPr="00861AB1" w:rsidRDefault="00B3589E" w:rsidP="00C00616">
      <w:pPr>
        <w:spacing w:after="0" w:line="240" w:lineRule="auto"/>
        <w:ind w:left="720" w:hanging="270"/>
        <w:jc w:val="both"/>
        <w:rPr>
          <w:rFonts w:ascii="Times New Roman" w:hAnsi="Times New Roman" w:cs="Times New Roman"/>
        </w:rPr>
      </w:pPr>
      <w:r w:rsidRPr="00861AB1">
        <w:rPr>
          <w:rFonts w:ascii="Times New Roman" w:hAnsi="Times New Roman" w:cs="Times New Roman"/>
        </w:rPr>
        <w:t xml:space="preserve">(7) </w:t>
      </w:r>
      <w:r w:rsidRPr="00861AB1">
        <w:rPr>
          <w:rFonts w:ascii="Times New Roman" w:hAnsi="Times New Roman" w:cs="Times New Roman"/>
          <w:b/>
          <w:bCs/>
          <w:u w:val="single"/>
        </w:rPr>
        <w:t xml:space="preserve">Reimbursement for Operating Losses During an </w:t>
      </w:r>
      <w:r w:rsidR="00C950B6" w:rsidRPr="00861AB1">
        <w:rPr>
          <w:rFonts w:ascii="Times New Roman" w:hAnsi="Times New Roman" w:cs="Times New Roman"/>
          <w:b/>
          <w:bCs/>
          <w:u w:val="single"/>
        </w:rPr>
        <w:t xml:space="preserve">Event when the </w:t>
      </w:r>
      <w:r w:rsidRPr="00861AB1">
        <w:rPr>
          <w:rFonts w:ascii="Times New Roman" w:hAnsi="Times New Roman" w:cs="Times New Roman"/>
          <w:b/>
          <w:bCs/>
          <w:u w:val="single"/>
        </w:rPr>
        <w:t xml:space="preserve">LCAP </w:t>
      </w:r>
      <w:r w:rsidR="00C950B6" w:rsidRPr="00861AB1">
        <w:rPr>
          <w:rFonts w:ascii="Times New Roman" w:hAnsi="Times New Roman" w:cs="Times New Roman"/>
          <w:b/>
          <w:bCs/>
          <w:u w:val="single"/>
        </w:rPr>
        <w:t>is in Effect</w:t>
      </w:r>
      <w:r w:rsidRPr="00861AB1">
        <w:rPr>
          <w:rFonts w:ascii="Times New Roman" w:hAnsi="Times New Roman" w:cs="Times New Roman"/>
          <w:b/>
          <w:bCs/>
          <w:u w:val="single"/>
        </w:rPr>
        <w:t xml:space="preserve">.  </w:t>
      </w:r>
      <w:r w:rsidR="00C950B6" w:rsidRPr="00861AB1">
        <w:rPr>
          <w:rFonts w:ascii="Times New Roman" w:hAnsi="Times New Roman" w:cs="Times New Roman"/>
          <w:u w:val="single"/>
        </w:rPr>
        <w:t xml:space="preserve">During an event when the system-wide offer cap is set </w:t>
      </w:r>
      <w:r w:rsidR="003871F4" w:rsidRPr="00861AB1">
        <w:rPr>
          <w:rFonts w:ascii="Times New Roman" w:hAnsi="Times New Roman" w:cs="Times New Roman"/>
          <w:u w:val="single"/>
        </w:rPr>
        <w:t>to the LCAP, ERCOT must reimburse resource entities for any actual marginal costs</w:t>
      </w:r>
      <w:r w:rsidR="00325C5E" w:rsidRPr="00861AB1">
        <w:rPr>
          <w:rFonts w:ascii="Times New Roman" w:hAnsi="Times New Roman" w:cs="Times New Roman"/>
          <w:u w:val="single"/>
        </w:rPr>
        <w:t xml:space="preserve"> </w:t>
      </w:r>
      <w:r w:rsidR="003871F4" w:rsidRPr="00861AB1">
        <w:rPr>
          <w:rFonts w:ascii="Times New Roman" w:hAnsi="Times New Roman" w:cs="Times New Roman"/>
          <w:u w:val="single"/>
        </w:rPr>
        <w:t>in excess of real-time revenues</w:t>
      </w:r>
      <w:r w:rsidR="00325C5E" w:rsidRPr="00861AB1">
        <w:rPr>
          <w:rFonts w:ascii="Times New Roman" w:hAnsi="Times New Roman" w:cs="Times New Roman"/>
          <w:u w:val="double"/>
        </w:rPr>
        <w:t>, plus a reasonable margin</w:t>
      </w:r>
      <w:r w:rsidR="003871F4" w:rsidRPr="00861AB1">
        <w:rPr>
          <w:rFonts w:ascii="Times New Roman" w:hAnsi="Times New Roman" w:cs="Times New Roman"/>
        </w:rPr>
        <w:t xml:space="preserve">. </w:t>
      </w:r>
      <w:r w:rsidR="00692C84" w:rsidRPr="00861AB1">
        <w:rPr>
          <w:rFonts w:ascii="Times New Roman" w:hAnsi="Times New Roman" w:cs="Times New Roman"/>
        </w:rPr>
        <w:t xml:space="preserve"> </w:t>
      </w:r>
      <w:r w:rsidR="00692C84" w:rsidRPr="00861AB1">
        <w:rPr>
          <w:rFonts w:ascii="Times New Roman" w:hAnsi="Times New Roman" w:cs="Times New Roman"/>
          <w:u w:val="single"/>
        </w:rPr>
        <w:t xml:space="preserve">ERCOT must utilize existing settlement processes to the extent possible to verify the resource entity’s cost for reimbursement. </w:t>
      </w:r>
      <w:r w:rsidR="00C00616" w:rsidRPr="00861AB1">
        <w:rPr>
          <w:rFonts w:ascii="Times New Roman" w:hAnsi="Times New Roman" w:cs="Times New Roman"/>
          <w:u w:val="double"/>
        </w:rPr>
        <w:t xml:space="preserve">Reimbursement shall include a margin on the generator’s actual cost to </w:t>
      </w:r>
      <w:r w:rsidR="001939E8">
        <w:rPr>
          <w:rFonts w:ascii="Times New Roman" w:hAnsi="Times New Roman" w:cs="Times New Roman"/>
          <w:u w:val="double"/>
        </w:rPr>
        <w:t>ensure</w:t>
      </w:r>
      <w:r w:rsidR="001939E8" w:rsidRPr="00861AB1">
        <w:rPr>
          <w:rFonts w:ascii="Times New Roman" w:hAnsi="Times New Roman" w:cs="Times New Roman"/>
          <w:u w:val="double"/>
        </w:rPr>
        <w:t xml:space="preserve"> </w:t>
      </w:r>
      <w:r w:rsidR="00C00616" w:rsidRPr="00861AB1">
        <w:rPr>
          <w:rFonts w:ascii="Times New Roman" w:hAnsi="Times New Roman" w:cs="Times New Roman"/>
          <w:u w:val="double"/>
        </w:rPr>
        <w:t>performance during an LCAP event.</w:t>
      </w:r>
    </w:p>
    <w:p w14:paraId="23DBEA4D" w14:textId="35373FA1" w:rsidR="003871F4" w:rsidRPr="00861AB1" w:rsidRDefault="003871F4" w:rsidP="00B3589E">
      <w:pPr>
        <w:spacing w:after="0" w:line="240" w:lineRule="auto"/>
        <w:ind w:left="720" w:hanging="270"/>
        <w:jc w:val="both"/>
        <w:rPr>
          <w:rFonts w:ascii="Times New Roman" w:hAnsi="Times New Roman" w:cs="Times New Roman"/>
        </w:rPr>
      </w:pPr>
    </w:p>
    <w:p w14:paraId="1D01DF60" w14:textId="77777777" w:rsidR="00B3589E" w:rsidRPr="00861AB1" w:rsidRDefault="00B3589E" w:rsidP="00B3589E">
      <w:pPr>
        <w:pStyle w:val="ListParagraph"/>
        <w:keepNext/>
        <w:numPr>
          <w:ilvl w:val="0"/>
          <w:numId w:val="2"/>
        </w:numPr>
        <w:spacing w:after="200" w:line="276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861AB1">
        <w:rPr>
          <w:rFonts w:ascii="Times New Roman" w:hAnsi="Times New Roman" w:cs="Times New Roman"/>
          <w:b/>
          <w:smallCaps/>
          <w:sz w:val="24"/>
          <w:szCs w:val="24"/>
        </w:rPr>
        <w:t xml:space="preserve">Conclusion </w:t>
      </w:r>
    </w:p>
    <w:p w14:paraId="6BE334C6" w14:textId="3DE0A6F6" w:rsidR="00B3589E" w:rsidRPr="00861AB1" w:rsidRDefault="00B3589E" w:rsidP="00B3589E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61AB1">
        <w:rPr>
          <w:rFonts w:ascii="Times New Roman" w:hAnsi="Times New Roman" w:cs="Times New Roman"/>
          <w:sz w:val="24"/>
          <w:szCs w:val="24"/>
        </w:rPr>
        <w:t xml:space="preserve">NRG appreciates the Commission’s thoughtful consideration </w:t>
      </w:r>
      <w:r w:rsidR="00E00A87">
        <w:rPr>
          <w:rFonts w:ascii="Times New Roman" w:hAnsi="Times New Roman" w:cs="Times New Roman"/>
          <w:sz w:val="24"/>
          <w:szCs w:val="24"/>
        </w:rPr>
        <w:t>of amendments to this rule</w:t>
      </w:r>
      <w:r w:rsidRPr="00861AB1">
        <w:rPr>
          <w:rFonts w:ascii="Times New Roman" w:hAnsi="Times New Roman" w:cs="Times New Roman"/>
          <w:sz w:val="24"/>
          <w:szCs w:val="24"/>
        </w:rPr>
        <w:t xml:space="preserve">.  NRG respectfully recommends that the Commission adopt </w:t>
      </w:r>
      <w:r w:rsidR="00953A7F" w:rsidRPr="00861AB1">
        <w:rPr>
          <w:rFonts w:ascii="Times New Roman" w:hAnsi="Times New Roman" w:cs="Times New Roman"/>
          <w:sz w:val="24"/>
          <w:szCs w:val="24"/>
        </w:rPr>
        <w:t>the proposed revisions to</w:t>
      </w:r>
      <w:r w:rsidRPr="00861AB1">
        <w:rPr>
          <w:rFonts w:ascii="Times New Roman" w:hAnsi="Times New Roman" w:cs="Times New Roman"/>
          <w:sz w:val="24"/>
          <w:szCs w:val="24"/>
        </w:rPr>
        <w:t xml:space="preserve"> 16 TAC </w:t>
      </w:r>
      <w:r w:rsidR="002235C6">
        <w:rPr>
          <w:rFonts w:ascii="Times New Roman" w:hAnsi="Times New Roman" w:cs="Times New Roman"/>
          <w:sz w:val="24"/>
          <w:szCs w:val="24"/>
        </w:rPr>
        <w:t xml:space="preserve">§ </w:t>
      </w:r>
      <w:r w:rsidRPr="00861AB1">
        <w:rPr>
          <w:rFonts w:ascii="Times New Roman" w:hAnsi="Times New Roman" w:cs="Times New Roman"/>
          <w:sz w:val="24"/>
          <w:szCs w:val="24"/>
        </w:rPr>
        <w:t>25.505</w:t>
      </w:r>
      <w:r w:rsidR="00953A7F" w:rsidRPr="00861AB1">
        <w:rPr>
          <w:rFonts w:ascii="Times New Roman" w:hAnsi="Times New Roman" w:cs="Times New Roman"/>
          <w:sz w:val="24"/>
          <w:szCs w:val="24"/>
        </w:rPr>
        <w:t xml:space="preserve">, </w:t>
      </w:r>
      <w:r w:rsidR="00953A7F" w:rsidRPr="00861AB1">
        <w:rPr>
          <w:rFonts w:ascii="Times New Roman" w:hAnsi="Times New Roman" w:cs="Times New Roman"/>
          <w:sz w:val="24"/>
          <w:szCs w:val="24"/>
        </w:rPr>
        <w:lastRenderedPageBreak/>
        <w:t xml:space="preserve">along with the modifications set forth </w:t>
      </w:r>
      <w:r w:rsidRPr="00861AB1">
        <w:rPr>
          <w:rFonts w:ascii="Times New Roman" w:hAnsi="Times New Roman" w:cs="Times New Roman"/>
          <w:sz w:val="24"/>
          <w:szCs w:val="24"/>
        </w:rPr>
        <w:t>above to ensure that the scarcity pricing mechanism can remain in place through a wide range of market conditions</w:t>
      </w:r>
      <w:r w:rsidR="00C1396C">
        <w:rPr>
          <w:rFonts w:ascii="Times New Roman" w:hAnsi="Times New Roman" w:cs="Times New Roman"/>
          <w:sz w:val="24"/>
          <w:szCs w:val="24"/>
        </w:rPr>
        <w:t>, and that generation meets the needs of the market</w:t>
      </w:r>
      <w:r w:rsidRPr="00861AB1">
        <w:rPr>
          <w:rFonts w:ascii="Times New Roman" w:hAnsi="Times New Roman" w:cs="Times New Roman"/>
          <w:sz w:val="24"/>
          <w:szCs w:val="24"/>
        </w:rPr>
        <w:t xml:space="preserve">.  </w:t>
      </w:r>
    </w:p>
    <w:tbl>
      <w:tblPr>
        <w:tblStyle w:val="TableGrid"/>
        <w:tblW w:w="0" w:type="auto"/>
        <w:tblInd w:w="3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</w:tblGrid>
      <w:tr w:rsidR="00FC39AF" w:rsidRPr="00861AB1" w14:paraId="1646577F" w14:textId="77777777" w:rsidTr="00953A7F">
        <w:tc>
          <w:tcPr>
            <w:tcW w:w="6030" w:type="dxa"/>
          </w:tcPr>
          <w:p w14:paraId="556C91D6" w14:textId="77777777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Respectfully submitted,</w:t>
            </w:r>
          </w:p>
          <w:p w14:paraId="45CE4BFF" w14:textId="14BDEE53" w:rsidR="00CD66B5" w:rsidRPr="00861AB1" w:rsidRDefault="00CD66B5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</w:p>
        </w:tc>
      </w:tr>
      <w:tr w:rsidR="00FC39AF" w:rsidRPr="00861AB1" w14:paraId="012A47F8" w14:textId="77777777" w:rsidTr="00953A7F">
        <w:tc>
          <w:tcPr>
            <w:tcW w:w="6030" w:type="dxa"/>
          </w:tcPr>
          <w:p w14:paraId="23975F28" w14:textId="7498553C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noProof/>
                <w:szCs w:val="24"/>
              </w:rPr>
              <w:drawing>
                <wp:inline distT="0" distB="0" distL="0" distR="0" wp14:anchorId="130AD7EC" wp14:editId="4B5A2A85">
                  <wp:extent cx="2722245" cy="311087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241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39AF" w:rsidRPr="00E8499C" w14:paraId="7B2F4BC8" w14:textId="77777777" w:rsidTr="00953A7F">
        <w:tc>
          <w:tcPr>
            <w:tcW w:w="6030" w:type="dxa"/>
          </w:tcPr>
          <w:p w14:paraId="15B2108D" w14:textId="664CFD1F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Bill Barnes</w:t>
            </w:r>
          </w:p>
          <w:p w14:paraId="13C602F3" w14:textId="32977A76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Sr. Dir. Regulatory Affairs</w:t>
            </w:r>
          </w:p>
          <w:p w14:paraId="7A7FD4D3" w14:textId="7841BF6E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NRG Energy, Inc.</w:t>
            </w:r>
          </w:p>
          <w:p w14:paraId="336C2BBC" w14:textId="0D59D281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1005 Congress Avenue, Suite 950</w:t>
            </w:r>
          </w:p>
          <w:p w14:paraId="3037272D" w14:textId="49ED55EF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Austin, Texas 78701</w:t>
            </w:r>
          </w:p>
          <w:p w14:paraId="0B0F5268" w14:textId="3D3291F6" w:rsidR="00FC39AF" w:rsidRPr="00861AB1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Telephone: (512)</w:t>
            </w:r>
            <w:r w:rsidR="00911C7A" w:rsidRPr="00861AB1">
              <w:rPr>
                <w:rFonts w:eastAsiaTheme="minorHAnsi"/>
                <w:szCs w:val="24"/>
              </w:rPr>
              <w:t xml:space="preserve"> </w:t>
            </w:r>
            <w:r w:rsidRPr="00861AB1">
              <w:rPr>
                <w:rFonts w:eastAsiaTheme="minorHAnsi"/>
                <w:szCs w:val="24"/>
              </w:rPr>
              <w:t>691-6137</w:t>
            </w:r>
          </w:p>
          <w:p w14:paraId="4E179EAE" w14:textId="429B6350" w:rsidR="00FC39AF" w:rsidRPr="00E8499C" w:rsidRDefault="00FC39AF" w:rsidP="00FC39AF">
            <w:pPr>
              <w:pStyle w:val="BodyText"/>
              <w:spacing w:line="240" w:lineRule="auto"/>
              <w:rPr>
                <w:rFonts w:eastAsiaTheme="minorHAnsi"/>
                <w:szCs w:val="24"/>
              </w:rPr>
            </w:pPr>
            <w:r w:rsidRPr="00861AB1">
              <w:rPr>
                <w:rFonts w:eastAsiaTheme="minorHAnsi"/>
                <w:szCs w:val="24"/>
              </w:rPr>
              <w:t xml:space="preserve"> </w:t>
            </w:r>
            <w:hyperlink r:id="rId9" w:history="1">
              <w:r w:rsidR="00CD66B5" w:rsidRPr="00861AB1">
                <w:rPr>
                  <w:rStyle w:val="Hyperlink"/>
                  <w:rFonts w:eastAsiaTheme="minorHAnsi"/>
                  <w:szCs w:val="24"/>
                </w:rPr>
                <w:t>bill.barnes@nrg.com</w:t>
              </w:r>
            </w:hyperlink>
          </w:p>
        </w:tc>
      </w:tr>
    </w:tbl>
    <w:p w14:paraId="5BC730DB" w14:textId="03441E05" w:rsidR="00390DBD" w:rsidRPr="00E8499C" w:rsidRDefault="00390DBD" w:rsidP="008D19C9">
      <w:pPr>
        <w:rPr>
          <w:rFonts w:ascii="Times New Roman" w:hAnsi="Times New Roman" w:cs="Times New Roman"/>
          <w:sz w:val="24"/>
          <w:szCs w:val="24"/>
        </w:rPr>
      </w:pPr>
    </w:p>
    <w:sectPr w:rsidR="00390DBD" w:rsidRPr="00E8499C" w:rsidSect="00BF4FEF"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1227A" w14:textId="77777777" w:rsidR="000D65EF" w:rsidRDefault="000D65EF" w:rsidP="00BF4FEF">
      <w:pPr>
        <w:spacing w:after="0" w:line="240" w:lineRule="auto"/>
      </w:pPr>
      <w:r>
        <w:separator/>
      </w:r>
    </w:p>
  </w:endnote>
  <w:endnote w:type="continuationSeparator" w:id="0">
    <w:p w14:paraId="4AD31C7D" w14:textId="77777777" w:rsidR="000D65EF" w:rsidRDefault="000D65EF" w:rsidP="00BF4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42655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D3BFC" w14:textId="180AEAB2" w:rsidR="00BF4FEF" w:rsidRDefault="00BF4F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21BFD5" w14:textId="77777777" w:rsidR="00BF4FEF" w:rsidRDefault="00BF4F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4BF1C" w14:textId="77777777" w:rsidR="000D65EF" w:rsidRDefault="000D65EF" w:rsidP="00BF4FEF">
      <w:pPr>
        <w:spacing w:after="0" w:line="240" w:lineRule="auto"/>
      </w:pPr>
      <w:r>
        <w:separator/>
      </w:r>
    </w:p>
  </w:footnote>
  <w:footnote w:type="continuationSeparator" w:id="0">
    <w:p w14:paraId="73BA6B37" w14:textId="77777777" w:rsidR="000D65EF" w:rsidRDefault="000D65EF" w:rsidP="00BF4FEF">
      <w:pPr>
        <w:spacing w:after="0" w:line="240" w:lineRule="auto"/>
      </w:pPr>
      <w:r>
        <w:continuationSeparator/>
      </w:r>
    </w:p>
  </w:footnote>
  <w:footnote w:id="1">
    <w:p w14:paraId="5A0EFC4F" w14:textId="7E55073E" w:rsidR="00417B5F" w:rsidRPr="00417B5F" w:rsidRDefault="00417B5F" w:rsidP="00417B5F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417B5F">
        <w:rPr>
          <w:rStyle w:val="FootnoteReference"/>
          <w:rFonts w:ascii="Times New Roman" w:hAnsi="Times New Roman" w:cs="Times New Roman"/>
        </w:rPr>
        <w:footnoteRef/>
      </w:r>
      <w:r w:rsidRPr="00417B5F">
        <w:rPr>
          <w:rFonts w:ascii="Times New Roman" w:hAnsi="Times New Roman" w:cs="Times New Roman"/>
        </w:rPr>
        <w:t xml:space="preserve">  Proposal for Publication of Amendments to § 25.505 as Approved at the May 6, 2021 Open Meeting (May 6, 2021), published in the </w:t>
      </w:r>
      <w:r w:rsidRPr="00417B5F">
        <w:rPr>
          <w:rFonts w:ascii="Times New Roman" w:hAnsi="Times New Roman" w:cs="Times New Roman"/>
          <w:i/>
          <w:iCs/>
        </w:rPr>
        <w:t>Texas Register</w:t>
      </w:r>
      <w:r w:rsidRPr="00417B5F">
        <w:rPr>
          <w:rFonts w:ascii="Times New Roman" w:hAnsi="Times New Roman" w:cs="Times New Roman"/>
        </w:rPr>
        <w:t xml:space="preserve"> on May 21, 2021.</w:t>
      </w:r>
    </w:p>
  </w:footnote>
  <w:footnote w:id="2">
    <w:p w14:paraId="2B2C82D5" w14:textId="0ACE21E5" w:rsidR="00795B8B" w:rsidRDefault="00795B8B" w:rsidP="00FB3C36">
      <w:pPr>
        <w:pStyle w:val="FootnoteText"/>
        <w:spacing w:before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Pr="00510EC6">
        <w:rPr>
          <w:rFonts w:ascii="Times New Roman" w:hAnsi="Times New Roman" w:cs="Times New Roman"/>
        </w:rPr>
        <w:t xml:space="preserve">NRG Energy, Inc. Response to Request for Comments on the Low System-Wide Offer Cap (Mar. 19, 2021) (NRG’s </w:t>
      </w:r>
      <w:r w:rsidR="00AC7CA1">
        <w:rPr>
          <w:rFonts w:ascii="Times New Roman" w:hAnsi="Times New Roman" w:cs="Times New Roman"/>
        </w:rPr>
        <w:t xml:space="preserve">Initial </w:t>
      </w:r>
      <w:r w:rsidRPr="00510EC6">
        <w:rPr>
          <w:rFonts w:ascii="Times New Roman" w:hAnsi="Times New Roman" w:cs="Times New Roman"/>
        </w:rPr>
        <w:t>Comments)</w:t>
      </w:r>
      <w:r w:rsidR="00AC7CA1">
        <w:rPr>
          <w:rFonts w:ascii="Times New Roman" w:hAnsi="Times New Roman" w:cs="Times New Roman"/>
        </w:rPr>
        <w:t>; NRG Energy, Inc’s Reply Comments Concerning the Low System-Wide Offer Cap (Mar. 26, 2021) (NRG’s Reply Comments); (collectively “NRG’s Comments”)</w:t>
      </w:r>
      <w:r w:rsidRPr="00510EC6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3">
    <w:p w14:paraId="6123A07D" w14:textId="77777777" w:rsidR="00EE6DFE" w:rsidRPr="001151EF" w:rsidRDefault="00EE6DFE" w:rsidP="00EE6DFE">
      <w:pPr>
        <w:pStyle w:val="FootnoteText"/>
        <w:spacing w:before="120" w:after="120"/>
        <w:ind w:firstLine="720"/>
        <w:rPr>
          <w:rFonts w:ascii="Times New Roman" w:hAnsi="Times New Roman" w:cs="Times New Roman"/>
        </w:rPr>
      </w:pPr>
      <w:r w:rsidRPr="001151EF">
        <w:rPr>
          <w:rStyle w:val="FootnoteReference"/>
          <w:rFonts w:ascii="Times New Roman" w:hAnsi="Times New Roman" w:cs="Times New Roman"/>
        </w:rPr>
        <w:footnoteRef/>
      </w:r>
      <w:r w:rsidRPr="001151EF">
        <w:rPr>
          <w:rFonts w:ascii="Times New Roman" w:hAnsi="Times New Roman" w:cs="Times New Roman"/>
        </w:rPr>
        <w:t xml:space="preserve">  </w:t>
      </w:r>
      <w:r w:rsidRPr="001151EF">
        <w:rPr>
          <w:rFonts w:ascii="Times New Roman" w:hAnsi="Times New Roman" w:cs="Times New Roman"/>
          <w:i/>
          <w:iCs/>
        </w:rPr>
        <w:t>Rulemaking</w:t>
      </w:r>
      <w:r>
        <w:rPr>
          <w:rFonts w:ascii="Times New Roman" w:hAnsi="Times New Roman" w:cs="Times New Roman"/>
          <w:i/>
          <w:iCs/>
        </w:rPr>
        <w:t xml:space="preserve"> on Wholesale Electric Market Power and Resource Adequacy in the ERCOT Power Region</w:t>
      </w:r>
      <w:r w:rsidRPr="001151EF">
        <w:rPr>
          <w:rFonts w:ascii="Times New Roman" w:hAnsi="Times New Roman" w:cs="Times New Roman"/>
        </w:rPr>
        <w:t>, Project 3</w:t>
      </w:r>
      <w:r>
        <w:rPr>
          <w:rFonts w:ascii="Times New Roman" w:hAnsi="Times New Roman" w:cs="Times New Roman"/>
        </w:rPr>
        <w:t>1972</w:t>
      </w:r>
      <w:r w:rsidRPr="001151EF">
        <w:rPr>
          <w:rFonts w:ascii="Times New Roman" w:hAnsi="Times New Roman" w:cs="Times New Roman"/>
        </w:rPr>
        <w:t>¸</w:t>
      </w:r>
      <w:r w:rsidRPr="001151EF">
        <w:rPr>
          <w:rFonts w:ascii="Times New Roman" w:hAnsi="Times New Roman" w:cs="Times New Roman"/>
          <w:i/>
          <w:iCs/>
        </w:rPr>
        <w:t xml:space="preserve"> </w:t>
      </w:r>
      <w:r w:rsidRPr="001151EF">
        <w:rPr>
          <w:rFonts w:ascii="Times New Roman" w:hAnsi="Times New Roman" w:cs="Times New Roman"/>
        </w:rPr>
        <w:t>Order Adopting Amendment to §25.502</w:t>
      </w:r>
      <w:r>
        <w:rPr>
          <w:rFonts w:ascii="Times New Roman" w:hAnsi="Times New Roman" w:cs="Times New Roman"/>
        </w:rPr>
        <w:t>, New §25.504 and New §25.505 as Approved at the August 10, 2006, Open Meeting</w:t>
      </w:r>
      <w:r w:rsidRPr="001151E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Aug. 23</w:t>
      </w:r>
      <w:r w:rsidRPr="001151EF">
        <w:rPr>
          <w:rFonts w:ascii="Times New Roman" w:hAnsi="Times New Roman" w:cs="Times New Roman"/>
        </w:rPr>
        <w:t>, 20</w:t>
      </w:r>
      <w:r>
        <w:rPr>
          <w:rFonts w:ascii="Times New Roman" w:hAnsi="Times New Roman" w:cs="Times New Roman"/>
        </w:rPr>
        <w:t>06</w:t>
      </w:r>
      <w:r w:rsidRPr="001151EF">
        <w:rPr>
          <w:rFonts w:ascii="Times New Roman" w:hAnsi="Times New Roman" w:cs="Times New Roman"/>
        </w:rPr>
        <w:t xml:space="preserve">).  </w:t>
      </w:r>
    </w:p>
  </w:footnote>
  <w:footnote w:id="4">
    <w:p w14:paraId="2ED0CC2E" w14:textId="77777777" w:rsidR="00EE6DFE" w:rsidRDefault="00EE6DFE" w:rsidP="00EE6DFE">
      <w:pPr>
        <w:pStyle w:val="FootnoteText"/>
        <w:spacing w:after="120"/>
        <w:ind w:firstLine="720"/>
      </w:pPr>
      <w:r w:rsidRPr="004E00BA">
        <w:rPr>
          <w:rStyle w:val="FootnoteReference"/>
        </w:rPr>
        <w:footnoteRef/>
      </w:r>
      <w:r w:rsidRPr="004E00BA">
        <w:rPr>
          <w:rStyle w:val="FootnoteReference"/>
        </w:rPr>
        <w:t xml:space="preserve">  </w:t>
      </w:r>
      <w:r w:rsidRPr="004E00BA">
        <w:rPr>
          <w:rFonts w:ascii="Times New Roman" w:hAnsi="Times New Roman" w:cs="Times New Roman"/>
        </w:rPr>
        <w:t>16 TAC § 25.505</w:t>
      </w:r>
      <w:r>
        <w:rPr>
          <w:rFonts w:ascii="Times New Roman" w:hAnsi="Times New Roman" w:cs="Times New Roman"/>
        </w:rPr>
        <w:t>(g)</w:t>
      </w:r>
      <w:r w:rsidRPr="004E00BA">
        <w:rPr>
          <w:rFonts w:ascii="Times New Roman" w:hAnsi="Times New Roman" w:cs="Times New Roman"/>
        </w:rPr>
        <w:t>(6)(</w:t>
      </w:r>
      <w:r>
        <w:rPr>
          <w:rFonts w:ascii="Times New Roman" w:hAnsi="Times New Roman" w:cs="Times New Roman"/>
        </w:rPr>
        <w:t>C</w:t>
      </w:r>
      <w:r w:rsidRPr="004E00B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</w:footnote>
  <w:footnote w:id="5">
    <w:p w14:paraId="5F88D0FD" w14:textId="0BEEF974" w:rsidR="00003E94" w:rsidRDefault="00003E94" w:rsidP="006C74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Pr="004E00BA">
        <w:rPr>
          <w:rFonts w:ascii="Times New Roman" w:hAnsi="Times New Roman" w:cs="Times New Roman"/>
        </w:rPr>
        <w:t>16 TAC § 25.505</w:t>
      </w:r>
      <w:r>
        <w:rPr>
          <w:rFonts w:ascii="Times New Roman" w:hAnsi="Times New Roman" w:cs="Times New Roman"/>
        </w:rPr>
        <w:t xml:space="preserve">(g)(6)(A). </w:t>
      </w:r>
    </w:p>
  </w:footnote>
  <w:footnote w:id="6">
    <w:p w14:paraId="450F934C" w14:textId="0956E877" w:rsidR="00F52AD2" w:rsidRPr="008F4D6D" w:rsidRDefault="00F52AD2" w:rsidP="006C74AF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8F4D6D">
        <w:rPr>
          <w:rStyle w:val="FootnoteReference"/>
          <w:rFonts w:ascii="Times New Roman" w:hAnsi="Times New Roman" w:cs="Times New Roman"/>
        </w:rPr>
        <w:footnoteRef/>
      </w:r>
      <w:r w:rsidRPr="008F4D6D">
        <w:rPr>
          <w:rFonts w:ascii="Times New Roman" w:hAnsi="Times New Roman" w:cs="Times New Roman"/>
        </w:rPr>
        <w:t xml:space="preserve">  </w:t>
      </w:r>
      <w:r w:rsidR="00D2766C">
        <w:rPr>
          <w:rFonts w:ascii="Times New Roman" w:hAnsi="Times New Roman" w:cs="Times New Roman"/>
        </w:rPr>
        <w:t>NRG’s Reply Comments at 4</w:t>
      </w:r>
      <w:r>
        <w:rPr>
          <w:rFonts w:ascii="Times New Roman" w:hAnsi="Times New Roman" w:cs="Times New Roman"/>
        </w:rPr>
        <w:t xml:space="preserve">; </w:t>
      </w:r>
      <w:r w:rsidRPr="00FA45FA">
        <w:rPr>
          <w:rFonts w:ascii="Times New Roman" w:hAnsi="Times New Roman" w:cs="Times New Roman"/>
        </w:rPr>
        <w:t xml:space="preserve">Texas Industrial Energy Consumers’ Initial Comments on the Low System-Wide Offer Cap at </w:t>
      </w:r>
      <w:r>
        <w:rPr>
          <w:rFonts w:ascii="Times New Roman" w:hAnsi="Times New Roman" w:cs="Times New Roman"/>
        </w:rPr>
        <w:t>10</w:t>
      </w:r>
      <w:r w:rsidRPr="00FA45FA">
        <w:rPr>
          <w:rFonts w:ascii="Times New Roman" w:hAnsi="Times New Roman" w:cs="Times New Roman"/>
        </w:rPr>
        <w:t xml:space="preserve"> (Mar. 19, 2021) (TIEC’s Comments)</w:t>
      </w:r>
      <w:r>
        <w:rPr>
          <w:rFonts w:ascii="Times New Roman" w:hAnsi="Times New Roman" w:cs="Times New Roman"/>
        </w:rPr>
        <w:t>.</w:t>
      </w:r>
      <w:r w:rsidRPr="008F4D6D">
        <w:rPr>
          <w:rFonts w:ascii="Times New Roman" w:hAnsi="Times New Roman" w:cs="Times New Roman"/>
        </w:rPr>
        <w:t xml:space="preserve">  </w:t>
      </w:r>
    </w:p>
  </w:footnote>
  <w:footnote w:id="7">
    <w:p w14:paraId="51495769" w14:textId="56E81DEA" w:rsidR="00BE4875" w:rsidRPr="00EF4D44" w:rsidRDefault="00BE4875" w:rsidP="006C74AF">
      <w:pPr>
        <w:pStyle w:val="FootnoteText"/>
        <w:ind w:firstLine="720"/>
        <w:rPr>
          <w:rFonts w:ascii="Times New Roman" w:hAnsi="Times New Roman" w:cs="Times New Roman"/>
        </w:rPr>
      </w:pPr>
      <w:r w:rsidRPr="00EF4D44">
        <w:rPr>
          <w:rStyle w:val="FootnoteReference"/>
          <w:rFonts w:ascii="Times New Roman" w:hAnsi="Times New Roman" w:cs="Times New Roman"/>
        </w:rPr>
        <w:footnoteRef/>
      </w:r>
      <w:r w:rsidRPr="00EF4D44">
        <w:rPr>
          <w:rFonts w:ascii="Times New Roman" w:hAnsi="Times New Roman" w:cs="Times New Roman"/>
        </w:rPr>
        <w:t xml:space="preserve"> </w:t>
      </w:r>
      <w:r w:rsidR="006B0C6E" w:rsidRPr="00EF4D44">
        <w:rPr>
          <w:rFonts w:ascii="Times New Roman" w:hAnsi="Times New Roman" w:cs="Times New Roman"/>
        </w:rPr>
        <w:t xml:space="preserve"> </w:t>
      </w:r>
      <w:r w:rsidR="006B0C6E" w:rsidRPr="00EF4D44">
        <w:rPr>
          <w:rFonts w:ascii="Times New Roman" w:hAnsi="Times New Roman" w:cs="Times New Roman"/>
          <w:i/>
          <w:iCs/>
        </w:rPr>
        <w:t xml:space="preserve">Complaint and Request for Emergency Relief by Luminant Energy Company LLC against the Electric Reliability Council of Texas, Inc., </w:t>
      </w:r>
      <w:r w:rsidR="006B0C6E" w:rsidRPr="00EF4D44">
        <w:rPr>
          <w:rFonts w:ascii="Times New Roman" w:hAnsi="Times New Roman" w:cs="Times New Roman"/>
        </w:rPr>
        <w:t xml:space="preserve">Docket No. 51883 (pending).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C455B"/>
    <w:multiLevelType w:val="hybridMultilevel"/>
    <w:tmpl w:val="FFC02F50"/>
    <w:lvl w:ilvl="0" w:tplc="B86EE5FE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B7316"/>
    <w:multiLevelType w:val="hybridMultilevel"/>
    <w:tmpl w:val="DC8C6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14AE9"/>
    <w:multiLevelType w:val="hybridMultilevel"/>
    <w:tmpl w:val="EE7EE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A"/>
    <w:rsid w:val="0000056E"/>
    <w:rsid w:val="00003425"/>
    <w:rsid w:val="00003E78"/>
    <w:rsid w:val="00003E94"/>
    <w:rsid w:val="00004D14"/>
    <w:rsid w:val="00011299"/>
    <w:rsid w:val="000206C0"/>
    <w:rsid w:val="00021F60"/>
    <w:rsid w:val="00027214"/>
    <w:rsid w:val="00047228"/>
    <w:rsid w:val="000474BC"/>
    <w:rsid w:val="000779A5"/>
    <w:rsid w:val="000817BF"/>
    <w:rsid w:val="000A1C89"/>
    <w:rsid w:val="000B15EE"/>
    <w:rsid w:val="000B1996"/>
    <w:rsid w:val="000B1B03"/>
    <w:rsid w:val="000B5F8C"/>
    <w:rsid w:val="000C02B9"/>
    <w:rsid w:val="000C06E9"/>
    <w:rsid w:val="000D05AC"/>
    <w:rsid w:val="000D2633"/>
    <w:rsid w:val="000D4715"/>
    <w:rsid w:val="000D65EF"/>
    <w:rsid w:val="000F02F0"/>
    <w:rsid w:val="000F75FF"/>
    <w:rsid w:val="00107C24"/>
    <w:rsid w:val="001151EF"/>
    <w:rsid w:val="001229FC"/>
    <w:rsid w:val="00137F2B"/>
    <w:rsid w:val="00152F05"/>
    <w:rsid w:val="00156348"/>
    <w:rsid w:val="00172E6B"/>
    <w:rsid w:val="00180741"/>
    <w:rsid w:val="00186439"/>
    <w:rsid w:val="001939E8"/>
    <w:rsid w:val="001A5761"/>
    <w:rsid w:val="001B34D2"/>
    <w:rsid w:val="001B6BA1"/>
    <w:rsid w:val="001D7B9B"/>
    <w:rsid w:val="001E11BD"/>
    <w:rsid w:val="001E2BDD"/>
    <w:rsid w:val="001E301F"/>
    <w:rsid w:val="00202CBE"/>
    <w:rsid w:val="0020404A"/>
    <w:rsid w:val="00206A68"/>
    <w:rsid w:val="00206B10"/>
    <w:rsid w:val="00213E0A"/>
    <w:rsid w:val="00215B4A"/>
    <w:rsid w:val="002166ED"/>
    <w:rsid w:val="002235C6"/>
    <w:rsid w:val="00252AB3"/>
    <w:rsid w:val="002940C8"/>
    <w:rsid w:val="002A45C9"/>
    <w:rsid w:val="002A7019"/>
    <w:rsid w:val="002B3723"/>
    <w:rsid w:val="002B6699"/>
    <w:rsid w:val="002B6D44"/>
    <w:rsid w:val="002C619D"/>
    <w:rsid w:val="002D39EB"/>
    <w:rsid w:val="002D4F53"/>
    <w:rsid w:val="002F134F"/>
    <w:rsid w:val="0030083C"/>
    <w:rsid w:val="00305FF6"/>
    <w:rsid w:val="00325C5E"/>
    <w:rsid w:val="00330026"/>
    <w:rsid w:val="00332C98"/>
    <w:rsid w:val="00333687"/>
    <w:rsid w:val="00337A7A"/>
    <w:rsid w:val="00345FF1"/>
    <w:rsid w:val="003528CC"/>
    <w:rsid w:val="003871F4"/>
    <w:rsid w:val="00390DBD"/>
    <w:rsid w:val="00392977"/>
    <w:rsid w:val="00394EB7"/>
    <w:rsid w:val="003A1271"/>
    <w:rsid w:val="003B1005"/>
    <w:rsid w:val="003B771B"/>
    <w:rsid w:val="003B7CBD"/>
    <w:rsid w:val="003D03F4"/>
    <w:rsid w:val="003D2ED6"/>
    <w:rsid w:val="003F3562"/>
    <w:rsid w:val="00405C2D"/>
    <w:rsid w:val="00417B5F"/>
    <w:rsid w:val="00422928"/>
    <w:rsid w:val="004230F1"/>
    <w:rsid w:val="0043118B"/>
    <w:rsid w:val="00431862"/>
    <w:rsid w:val="00433D84"/>
    <w:rsid w:val="00472EA2"/>
    <w:rsid w:val="00476D13"/>
    <w:rsid w:val="00496012"/>
    <w:rsid w:val="004A761E"/>
    <w:rsid w:val="004D45AD"/>
    <w:rsid w:val="004E00BA"/>
    <w:rsid w:val="004F070D"/>
    <w:rsid w:val="0051433F"/>
    <w:rsid w:val="00520ABB"/>
    <w:rsid w:val="00525DA2"/>
    <w:rsid w:val="005568BD"/>
    <w:rsid w:val="00561504"/>
    <w:rsid w:val="00585B60"/>
    <w:rsid w:val="00587B69"/>
    <w:rsid w:val="00590FCA"/>
    <w:rsid w:val="00594CD2"/>
    <w:rsid w:val="005A0D2F"/>
    <w:rsid w:val="005C26EE"/>
    <w:rsid w:val="005C31C3"/>
    <w:rsid w:val="005D0F17"/>
    <w:rsid w:val="005D60E7"/>
    <w:rsid w:val="005E33FE"/>
    <w:rsid w:val="005E5645"/>
    <w:rsid w:val="005F231B"/>
    <w:rsid w:val="00612D4E"/>
    <w:rsid w:val="00614B10"/>
    <w:rsid w:val="00632082"/>
    <w:rsid w:val="00635C4B"/>
    <w:rsid w:val="0063689B"/>
    <w:rsid w:val="0064376F"/>
    <w:rsid w:val="0065075F"/>
    <w:rsid w:val="00653935"/>
    <w:rsid w:val="00655981"/>
    <w:rsid w:val="00665FF3"/>
    <w:rsid w:val="00692C84"/>
    <w:rsid w:val="00695BD0"/>
    <w:rsid w:val="006B0C6E"/>
    <w:rsid w:val="006B3DAE"/>
    <w:rsid w:val="006B3E68"/>
    <w:rsid w:val="006B7C70"/>
    <w:rsid w:val="006C064A"/>
    <w:rsid w:val="006C0E9A"/>
    <w:rsid w:val="006C74AF"/>
    <w:rsid w:val="006D3CA3"/>
    <w:rsid w:val="006D72EC"/>
    <w:rsid w:val="006E6D74"/>
    <w:rsid w:val="00742D2A"/>
    <w:rsid w:val="00744A9C"/>
    <w:rsid w:val="00752B8B"/>
    <w:rsid w:val="007611ED"/>
    <w:rsid w:val="007644A1"/>
    <w:rsid w:val="00767A0B"/>
    <w:rsid w:val="0077529A"/>
    <w:rsid w:val="0079387C"/>
    <w:rsid w:val="00795B8B"/>
    <w:rsid w:val="007A31F2"/>
    <w:rsid w:val="007D65E3"/>
    <w:rsid w:val="007E1761"/>
    <w:rsid w:val="007E3B0B"/>
    <w:rsid w:val="007E58E2"/>
    <w:rsid w:val="007E5CAE"/>
    <w:rsid w:val="00804FFA"/>
    <w:rsid w:val="00824A79"/>
    <w:rsid w:val="00830D7B"/>
    <w:rsid w:val="00834895"/>
    <w:rsid w:val="00850370"/>
    <w:rsid w:val="0085303E"/>
    <w:rsid w:val="00860A22"/>
    <w:rsid w:val="00861AB1"/>
    <w:rsid w:val="0086259E"/>
    <w:rsid w:val="008735C3"/>
    <w:rsid w:val="00876A97"/>
    <w:rsid w:val="008A468E"/>
    <w:rsid w:val="008B3525"/>
    <w:rsid w:val="008B38E2"/>
    <w:rsid w:val="008B5EFE"/>
    <w:rsid w:val="008C1272"/>
    <w:rsid w:val="008C3114"/>
    <w:rsid w:val="008D19C9"/>
    <w:rsid w:val="008E067D"/>
    <w:rsid w:val="008F5402"/>
    <w:rsid w:val="008F5CCD"/>
    <w:rsid w:val="008F662F"/>
    <w:rsid w:val="009046F7"/>
    <w:rsid w:val="0090662C"/>
    <w:rsid w:val="00911C7A"/>
    <w:rsid w:val="009143D8"/>
    <w:rsid w:val="0094000F"/>
    <w:rsid w:val="00947155"/>
    <w:rsid w:val="00953A7F"/>
    <w:rsid w:val="00954FA3"/>
    <w:rsid w:val="0096580F"/>
    <w:rsid w:val="00995321"/>
    <w:rsid w:val="00996756"/>
    <w:rsid w:val="009A731D"/>
    <w:rsid w:val="009C5CD4"/>
    <w:rsid w:val="009C7375"/>
    <w:rsid w:val="009D50F1"/>
    <w:rsid w:val="009D55C8"/>
    <w:rsid w:val="009E1253"/>
    <w:rsid w:val="009E4ED4"/>
    <w:rsid w:val="009E5142"/>
    <w:rsid w:val="009E5CC9"/>
    <w:rsid w:val="00A023E0"/>
    <w:rsid w:val="00A10804"/>
    <w:rsid w:val="00A15C0B"/>
    <w:rsid w:val="00A17536"/>
    <w:rsid w:val="00A232DE"/>
    <w:rsid w:val="00A252AB"/>
    <w:rsid w:val="00A500EE"/>
    <w:rsid w:val="00A61DB6"/>
    <w:rsid w:val="00A6685A"/>
    <w:rsid w:val="00AB68A5"/>
    <w:rsid w:val="00AC4E1D"/>
    <w:rsid w:val="00AC7CA1"/>
    <w:rsid w:val="00B06FE7"/>
    <w:rsid w:val="00B245FA"/>
    <w:rsid w:val="00B3589E"/>
    <w:rsid w:val="00B606E6"/>
    <w:rsid w:val="00B84A99"/>
    <w:rsid w:val="00B91D90"/>
    <w:rsid w:val="00BA669D"/>
    <w:rsid w:val="00BB0D7D"/>
    <w:rsid w:val="00BC5918"/>
    <w:rsid w:val="00BC5A17"/>
    <w:rsid w:val="00BE1229"/>
    <w:rsid w:val="00BE4875"/>
    <w:rsid w:val="00BE7044"/>
    <w:rsid w:val="00BF4FEF"/>
    <w:rsid w:val="00C00616"/>
    <w:rsid w:val="00C12FF8"/>
    <w:rsid w:val="00C1396C"/>
    <w:rsid w:val="00C15670"/>
    <w:rsid w:val="00C24ACD"/>
    <w:rsid w:val="00C41826"/>
    <w:rsid w:val="00C45A63"/>
    <w:rsid w:val="00C56348"/>
    <w:rsid w:val="00C77E27"/>
    <w:rsid w:val="00C950B6"/>
    <w:rsid w:val="00CA0775"/>
    <w:rsid w:val="00CB6A50"/>
    <w:rsid w:val="00CD66B5"/>
    <w:rsid w:val="00CE659D"/>
    <w:rsid w:val="00D03A13"/>
    <w:rsid w:val="00D2766C"/>
    <w:rsid w:val="00D47121"/>
    <w:rsid w:val="00D627CB"/>
    <w:rsid w:val="00D85AAF"/>
    <w:rsid w:val="00D91E99"/>
    <w:rsid w:val="00D956E0"/>
    <w:rsid w:val="00DA6C1B"/>
    <w:rsid w:val="00DA7E17"/>
    <w:rsid w:val="00DC0213"/>
    <w:rsid w:val="00DC7E6B"/>
    <w:rsid w:val="00DD655B"/>
    <w:rsid w:val="00DE6296"/>
    <w:rsid w:val="00DE6B85"/>
    <w:rsid w:val="00DF2F70"/>
    <w:rsid w:val="00E00A87"/>
    <w:rsid w:val="00E03350"/>
    <w:rsid w:val="00E30576"/>
    <w:rsid w:val="00E3337F"/>
    <w:rsid w:val="00E57F24"/>
    <w:rsid w:val="00E64D64"/>
    <w:rsid w:val="00E75AA2"/>
    <w:rsid w:val="00E820F9"/>
    <w:rsid w:val="00E8499C"/>
    <w:rsid w:val="00E93F2D"/>
    <w:rsid w:val="00EC3C5B"/>
    <w:rsid w:val="00EE667F"/>
    <w:rsid w:val="00EE6DFE"/>
    <w:rsid w:val="00EF4D44"/>
    <w:rsid w:val="00F058BA"/>
    <w:rsid w:val="00F10AE8"/>
    <w:rsid w:val="00F13925"/>
    <w:rsid w:val="00F1596F"/>
    <w:rsid w:val="00F26977"/>
    <w:rsid w:val="00F4043A"/>
    <w:rsid w:val="00F4078D"/>
    <w:rsid w:val="00F52AD2"/>
    <w:rsid w:val="00F52C55"/>
    <w:rsid w:val="00F538E1"/>
    <w:rsid w:val="00F60ED3"/>
    <w:rsid w:val="00F631A0"/>
    <w:rsid w:val="00F87776"/>
    <w:rsid w:val="00F908F5"/>
    <w:rsid w:val="00F97227"/>
    <w:rsid w:val="00FB3C36"/>
    <w:rsid w:val="00FB5DF1"/>
    <w:rsid w:val="00FC39AF"/>
    <w:rsid w:val="00FC5BE8"/>
    <w:rsid w:val="00FD0B24"/>
    <w:rsid w:val="00FD0BBC"/>
    <w:rsid w:val="00FD6D44"/>
    <w:rsid w:val="00FE0A5E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36C17"/>
  <w15:chartTrackingRefBased/>
  <w15:docId w15:val="{6A38DC61-8803-4AE2-BFEB-DACB8F1C7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9C9"/>
    <w:pPr>
      <w:ind w:left="720"/>
      <w:contextualSpacing/>
    </w:pPr>
  </w:style>
  <w:style w:type="paragraph" w:styleId="Title">
    <w:name w:val="Title"/>
    <w:basedOn w:val="Normal"/>
    <w:link w:val="TitleChar"/>
    <w:qFormat/>
    <w:rsid w:val="00C5634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56348"/>
    <w:rPr>
      <w:rFonts w:ascii="Times New Roman" w:eastAsia="Times New Roman" w:hAnsi="Times New Roman" w:cs="Times New Roman"/>
      <w:sz w:val="24"/>
      <w:szCs w:val="20"/>
    </w:rPr>
  </w:style>
  <w:style w:type="paragraph" w:styleId="Caption">
    <w:name w:val="caption"/>
    <w:basedOn w:val="Normal"/>
    <w:next w:val="Normal"/>
    <w:qFormat/>
    <w:rsid w:val="00C5634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table" w:styleId="TableGrid">
    <w:name w:val="Table Grid"/>
    <w:basedOn w:val="TableNormal"/>
    <w:uiPriority w:val="59"/>
    <w:rsid w:val="00C56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4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FEF"/>
  </w:style>
  <w:style w:type="paragraph" w:styleId="Footer">
    <w:name w:val="footer"/>
    <w:basedOn w:val="Normal"/>
    <w:link w:val="FooterChar"/>
    <w:uiPriority w:val="99"/>
    <w:unhideWhenUsed/>
    <w:rsid w:val="00BF4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FEF"/>
  </w:style>
  <w:style w:type="paragraph" w:styleId="BodyText">
    <w:name w:val="Body Text"/>
    <w:basedOn w:val="Normal"/>
    <w:link w:val="BodyTextChar"/>
    <w:rsid w:val="00390DB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90DBD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C39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9A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A12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2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2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2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2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27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127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127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1271"/>
    <w:rPr>
      <w:vertAlign w:val="superscript"/>
    </w:rPr>
  </w:style>
  <w:style w:type="paragraph" w:customStyle="1" w:styleId="Default">
    <w:name w:val="Default"/>
    <w:rsid w:val="00F877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ll.barnes@nr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5EF-B703-4D26-BAD4-A81789E3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Barnes, Bill</dc:creator>
  <cp:keywords/>
  <dc:description/>
  <cp:lastModifiedBy>Porter, Lisa</cp:lastModifiedBy>
  <cp:revision>6</cp:revision>
  <cp:lastPrinted>2021-03-13T21:03:00Z</cp:lastPrinted>
  <dcterms:created xsi:type="dcterms:W3CDTF">2021-06-03T16:23:00Z</dcterms:created>
  <dcterms:modified xsi:type="dcterms:W3CDTF">2021-06-03T16:49:00Z</dcterms:modified>
</cp:coreProperties>
</file>